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media/image52.jpeg" ContentType="image/jpeg"/>
  <Override PartName="/word/media/image50.png" ContentType="image/png"/>
  <Override PartName="/word/media/image49.wmf" ContentType="image/x-wmf"/>
  <Override PartName="/word/media/image48.wmf" ContentType="image/x-wmf"/>
  <Override PartName="/word/media/image47.wmf" ContentType="image/x-wmf"/>
  <Override PartName="/word/media/image21.wmf" ContentType="image/x-wmf"/>
  <Override PartName="/word/media/image20.wmf" ContentType="image/x-wmf"/>
  <Override PartName="/word/media/image19.wmf" ContentType="image/x-wmf"/>
  <Override PartName="/word/media/image7.tif" ContentType="image/tiff"/>
  <Override PartName="/word/media/image16.wmf" ContentType="image/x-wmf"/>
  <Override PartName="/word/media/image14.wmf" ContentType="image/x-wmf"/>
  <Override PartName="/word/media/image13.wmf" ContentType="image/x-wmf"/>
  <Override PartName="/word/media/image4.wmf" ContentType="image/x-wmf"/>
  <Override PartName="/word/media/image15.wmf" ContentType="image/x-wmf"/>
  <Override PartName="/word/media/image6.tif" ContentType="image/tiff"/>
  <Override PartName="/word/media/image39.wmf" ContentType="image/x-wmf"/>
  <Override PartName="/word/media/image22.wmf" ContentType="image/x-wmf"/>
  <Override PartName="/word/media/image18.wmf" ContentType="image/x-wmf"/>
  <Override PartName="/word/media/image9.tif" ContentType="image/tiff"/>
  <Override PartName="/word/media/image12.wmf" ContentType="image/x-wmf"/>
  <Override PartName="/word/media/image3.tif" ContentType="image/tiff"/>
  <Override PartName="/word/media/image36.wmf" ContentType="image/x-wmf"/>
  <Override PartName="/word/media/image11.wmf" ContentType="image/x-wmf"/>
  <Override PartName="/word/media/image1.jpeg" ContentType="image/jpeg"/>
  <Override PartName="/word/media/image27.wmf" ContentType="image/x-wmf"/>
  <Override PartName="/word/media/image17.wmf" ContentType="image/x-wmf"/>
  <Override PartName="/word/media/image8.jpeg" ContentType="image/jpeg"/>
  <Override PartName="/word/media/image5.png" ContentType="image/png"/>
  <Override PartName="/word/media/image44.wmf" ContentType="image/x-wmf"/>
  <Override PartName="/word/media/image10.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8.wmf" ContentType="image/x-wmf"/>
  <Override PartName="/word/media/image29.wmf" ContentType="image/x-wmf"/>
  <Override PartName="/word/media/image30.wmf" ContentType="image/x-wmf"/>
  <Override PartName="/word/media/image31.wmf" ContentType="image/x-wmf"/>
  <Override PartName="/word/media/image32.wmf" ContentType="image/x-wmf"/>
  <Override PartName="/word/media/image33.wmf" ContentType="image/x-wmf"/>
  <Override PartName="/word/media/image34.wmf" ContentType="image/x-wmf"/>
  <Override PartName="/word/media/image35.wmf" ContentType="image/x-wmf"/>
  <Override PartName="/word/media/image37.wmf" ContentType="image/x-wmf"/>
  <Override PartName="/word/media/image38.wmf" ContentType="image/x-wmf"/>
  <Override PartName="/word/media/image51.png" ContentType="image/png"/>
  <Override PartName="/word/media/image40.wmf" ContentType="image/x-wmf"/>
  <Override PartName="/word/media/image2.png" ContentType="image/png"/>
  <Override PartName="/word/media/image41.wmf" ContentType="image/x-wmf"/>
  <Override PartName="/word/media/image42.wmf" ContentType="image/x-wmf"/>
  <Override PartName="/word/media/image43.wmf" ContentType="image/x-wmf"/>
  <Override PartName="/word/media/image45.wmf" ContentType="image/x-wmf"/>
  <Override PartName="/word/media/image46.wmf" ContentType="image/x-wmf"/>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ajorHAnsi" w:hAnsiTheme="majorHAnsi"/>
          <w:sz w:val="28"/>
          <w:szCs w:val="28"/>
          <w:lang w:val="en-GB"/>
        </w:rPr>
      </w:pPr>
      <w:r>
        <w:rPr>
          <w:rFonts w:ascii="Calibri" w:hAnsi="Calibri" w:asciiTheme="majorHAnsi" w:hAnsiTheme="majorHAnsi"/>
          <w:sz w:val="28"/>
          <w:szCs w:val="28"/>
          <w:lang w:val="en-GB"/>
        </w:rPr>
        <w:t>Doctoral thesis</w:t>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28"/>
          <w:szCs w:val="28"/>
          <w:lang w:val="en-GB"/>
        </w:rPr>
        <w:t>A contribution of</w:t>
      </w:r>
      <w:ins w:id="0" w:author="Unknown Author" w:date="2018-04-12T10:18:00Z">
        <w:r>
          <w:rPr>
            <w:rFonts w:ascii="Calibri" w:hAnsi="Calibri" w:asciiTheme="majorHAnsi" w:hAnsiTheme="majorHAnsi"/>
            <w:b/>
            <w:color w:val="808080" w:themeColor="background1" w:themeShade="80"/>
            <w:sz w:val="28"/>
            <w:szCs w:val="28"/>
            <w:lang w:val="en-GB"/>
          </w:rPr>
          <w:t xml:space="preserve"> </w:t>
        </w:r>
      </w:ins>
      <w:del w:id="1" w:author="Unknown Author" w:date="2018-04-12T10:18:00Z">
        <w:r>
          <w:rPr>
            <w:rFonts w:ascii="Calibri" w:hAnsi="Calibri" w:asciiTheme="majorHAnsi" w:hAnsiTheme="majorHAnsi"/>
            <w:b/>
            <w:color w:val="808080" w:themeColor="background1" w:themeShade="80"/>
            <w:sz w:val="28"/>
            <w:szCs w:val="28"/>
            <w:lang w:val="en-GB"/>
          </w:rPr>
          <w:delText xml:space="preserve"> the </w:delText>
        </w:r>
      </w:del>
      <w:r>
        <w:rPr>
          <w:rFonts w:ascii="Calibri" w:hAnsi="Calibri" w:asciiTheme="majorHAnsi" w:hAnsiTheme="majorHAnsi"/>
          <w:b/>
          <w:color w:val="808080" w:themeColor="background1" w:themeShade="80"/>
          <w:sz w:val="28"/>
          <w:szCs w:val="28"/>
          <w:lang w:val="en-GB"/>
        </w:rPr>
        <w:t xml:space="preserve">economic analysis to improving access to effective infectious diseases interventions in low- and middle-income countries: </w:t>
      </w:r>
    </w:p>
    <w:p>
      <w:pPr>
        <w:pStyle w:val="Normal"/>
        <w:spacing w:lineRule="auto" w:line="360"/>
        <w:rPr>
          <w:rFonts w:ascii="Calibri" w:hAnsi="Calibri" w:asciiTheme="majorHAnsi" w:hAnsiTheme="majorHAnsi"/>
          <w:b/>
          <w:b/>
          <w:color w:val="808080" w:themeColor="background1" w:themeShade="80"/>
          <w:sz w:val="28"/>
          <w:szCs w:val="28"/>
          <w:lang w:val="en-GB"/>
        </w:rPr>
      </w:pPr>
      <w:r>
        <w:rPr>
          <w:rFonts w:ascii="Calibri" w:hAnsi="Calibri" w:asciiTheme="majorHAnsi" w:hAnsiTheme="majorHAnsi"/>
          <w:b/>
          <w:color w:val="808080" w:themeColor="background1" w:themeShade="80"/>
          <w:sz w:val="28"/>
          <w:szCs w:val="28"/>
          <w:lang w:val="en-GB"/>
        </w:rPr>
        <w:t>Evidence from Northern and Sub-Saharan Africa</w:t>
      </w:r>
    </w:p>
    <w:p>
      <w:pPr>
        <w:pStyle w:val="Normal"/>
        <w:rPr>
          <w:rFonts w:ascii="Calibri" w:hAnsi="Calibri" w:asciiTheme="majorHAnsi" w:hAnsiTheme="majorHAnsi"/>
          <w:sz w:val="28"/>
          <w:szCs w:val="28"/>
          <w:lang w:val="es-ES"/>
        </w:rPr>
      </w:pPr>
      <w:r>
        <w:rPr>
          <w:rFonts w:ascii="Calibri" w:hAnsi="Calibri" w:asciiTheme="majorHAnsi" w:hAnsiTheme="majorHAnsi"/>
          <w:sz w:val="28"/>
          <w:szCs w:val="28"/>
          <w:lang w:val="es-ES"/>
        </w:rPr>
        <w:t>_______________________________________________________</w:t>
      </w:r>
    </w:p>
    <w:p>
      <w:pPr>
        <w:pStyle w:val="Normal"/>
        <w:rPr>
          <w:rFonts w:ascii="Calibri" w:hAnsi="Calibri" w:asciiTheme="majorHAnsi" w:hAnsiTheme="majorHAnsi"/>
          <w:sz w:val="28"/>
          <w:szCs w:val="28"/>
          <w:lang w:val="es-ES"/>
        </w:rPr>
      </w:pPr>
      <w:r>
        <w:rPr>
          <w:rFonts w:asciiTheme="majorHAnsi" w:hAnsiTheme="majorHAnsi" w:ascii="Calibri" w:hAnsi="Calibri"/>
          <w:sz w:val="28"/>
          <w:szCs w:val="28"/>
          <w:lang w:val="es-ES"/>
        </w:rPr>
      </w:r>
    </w:p>
    <w:p>
      <w:pPr>
        <w:pStyle w:val="Normal"/>
        <w:spacing w:lineRule="auto" w:line="360"/>
        <w:rPr>
          <w:rFonts w:ascii="Calibri" w:hAnsi="Calibri" w:asciiTheme="majorHAnsi" w:hAnsiTheme="majorHAnsi"/>
          <w:color w:val="808080" w:themeColor="background1" w:themeShade="80"/>
          <w:sz w:val="28"/>
          <w:szCs w:val="28"/>
          <w:lang w:val="es-ES"/>
        </w:rPr>
      </w:pPr>
      <w:r>
        <w:rPr>
          <w:rFonts w:ascii="Calibri" w:hAnsi="Calibri" w:asciiTheme="majorHAnsi" w:hAnsiTheme="majorHAnsi"/>
          <w:color w:val="808080" w:themeColor="background1" w:themeShade="80"/>
          <w:sz w:val="28"/>
          <w:szCs w:val="28"/>
          <w:lang w:val="es-ES"/>
        </w:rPr>
        <w:t xml:space="preserve">Contribución del análisis económico para mejorar el acceso a intervenciones efectivas de enfermedades infecciosas en países de ingresos bajos y medianos: evidencia de África del norte y subsahariana. </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b/>
          <w:b/>
          <w:sz w:val="32"/>
          <w:szCs w:val="32"/>
          <w:lang w:val="en-GB"/>
        </w:rPr>
      </w:pPr>
      <w:r>
        <w:rPr>
          <w:rFonts w:ascii="Calibri" w:hAnsi="Calibri" w:asciiTheme="majorHAnsi" w:hAnsiTheme="majorHAnsi"/>
          <w:b/>
          <w:sz w:val="32"/>
          <w:szCs w:val="32"/>
          <w:lang w:val="en-GB"/>
        </w:rPr>
        <w:t>Sergi Alonso</w:t>
      </w:r>
    </w:p>
    <w:p>
      <w:pPr>
        <w:pStyle w:val="Normal"/>
        <w:spacing w:lineRule="auto" w:line="360"/>
        <w:rPr>
          <w:rFonts w:ascii="Calibri" w:hAnsi="Calibri" w:asciiTheme="majorHAnsi" w:hAnsiTheme="majorHAnsi"/>
          <w:color w:val="808080" w:themeColor="background1" w:themeShade="80"/>
          <w:sz w:val="28"/>
          <w:szCs w:val="28"/>
          <w:lang w:val="es-ES"/>
        </w:rPr>
      </w:pPr>
      <w:r>
        <w:rPr>
          <w:rFonts w:asciiTheme="majorHAnsi" w:hAnsiTheme="majorHAnsi" w:ascii="Calibri" w:hAnsi="Calibri"/>
          <w:color w:val="808080" w:themeColor="background1" w:themeShade="80"/>
          <w:sz w:val="28"/>
          <w:szCs w:val="28"/>
          <w:lang w:val="es-ES"/>
        </w:rPr>
      </w:r>
    </w:p>
    <w:p>
      <w:pPr>
        <w:pStyle w:val="Normal"/>
        <w:rPr>
          <w:rFonts w:ascii="Calibri" w:hAnsi="Calibri" w:asciiTheme="majorHAnsi" w:hAnsiTheme="majorHAnsi"/>
          <w:sz w:val="28"/>
          <w:szCs w:val="28"/>
          <w:lang w:val="es-ES"/>
        </w:rPr>
      </w:pPr>
      <w:r>
        <w:rPr/>
        <w:drawing>
          <wp:inline distT="0" distB="0" distL="0" distR="0">
            <wp:extent cx="5612130" cy="42094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4209415"/>
                    </a:xfrm>
                    <a:prstGeom prst="rect">
                      <a:avLst/>
                    </a:prstGeom>
                  </pic:spPr>
                </pic:pic>
              </a:graphicData>
            </a:graphic>
          </wp:inline>
        </w:drawing>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rPr>
          <w:rFonts w:ascii="Calibri" w:hAnsi="Calibri" w:asciiTheme="majorHAnsi" w:hAnsiTheme="majorHAnsi"/>
          <w:sz w:val="28"/>
          <w:szCs w:val="28"/>
          <w:lang w:val="en-GB"/>
        </w:rPr>
      </w:pPr>
      <w:r>
        <w:rPr>
          <w:rFonts w:asciiTheme="majorHAnsi" w:hAnsiTheme="majorHAnsi" w:ascii="Calibri" w:hAnsi="Calibri"/>
          <w:sz w:val="28"/>
          <w:szCs w:val="28"/>
          <w:lang w:val="en-GB"/>
        </w:rPr>
      </w:r>
      <w:r>
        <w:br w:type="page"/>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rFonts w:ascii="Calibri" w:hAnsi="Calibri" w:asciiTheme="majorHAnsi" w:hAnsiTheme="majorHAnsi"/>
          <w:sz w:val="28"/>
          <w:szCs w:val="28"/>
          <w:lang w:val="en-GB"/>
        </w:rPr>
      </w:pPr>
      <w:r>
        <w:rPr>
          <w:rFonts w:asciiTheme="majorHAnsi" w:hAnsiTheme="majorHAnsi" w:ascii="Calibri" w:hAnsi="Calibri"/>
          <w:sz w:val="28"/>
          <w:szCs w:val="28"/>
          <w:lang w:val="en-GB"/>
        </w:rPr>
      </w:r>
    </w:p>
    <w:p>
      <w:pPr>
        <w:pStyle w:val="Normal"/>
        <w:spacing w:lineRule="auto" w:line="360"/>
        <w:rPr/>
      </w:pPr>
      <w:r>
        <w:rPr>
          <w:rFonts w:ascii="Calibri" w:hAnsi="Calibri" w:asciiTheme="majorHAnsi" w:hAnsiTheme="majorHAnsi"/>
          <w:b/>
          <w:color w:val="808080" w:themeColor="background1" w:themeShade="80"/>
          <w:sz w:val="32"/>
          <w:szCs w:val="32"/>
          <w:lang w:val="en-GB"/>
        </w:rPr>
        <w:t xml:space="preserve">A contribution of </w:t>
      </w:r>
      <w:del w:id="2" w:author="Unknown Author" w:date="2018-04-12T10:18:00Z">
        <w:r>
          <w:rPr>
            <w:rFonts w:ascii="Calibri" w:hAnsi="Calibri" w:asciiTheme="majorHAnsi" w:hAnsiTheme="majorHAnsi"/>
            <w:b/>
            <w:color w:val="808080" w:themeColor="background1" w:themeShade="80"/>
            <w:sz w:val="32"/>
            <w:szCs w:val="32"/>
            <w:lang w:val="en-GB"/>
          </w:rPr>
          <w:delText xml:space="preserve">the </w:delText>
        </w:r>
      </w:del>
      <w:r>
        <w:rPr>
          <w:rFonts w:ascii="Calibri" w:hAnsi="Calibri" w:asciiTheme="majorHAnsi" w:hAnsiTheme="majorHAnsi"/>
          <w:b/>
          <w:color w:val="808080" w:themeColor="background1" w:themeShade="80"/>
          <w:sz w:val="32"/>
          <w:szCs w:val="32"/>
          <w:lang w:val="en-GB"/>
        </w:rPr>
        <w:t>economic analysis to improving access to effective infectious diseases interventions in low- and middle-income countries: Evidence from Northern and Sub-Saharan Africa</w:t>
      </w:r>
    </w:p>
    <w:p>
      <w:pPr>
        <w:pStyle w:val="Normal"/>
        <w:spacing w:lineRule="auto" w:line="360"/>
        <w:rPr>
          <w:rFonts w:ascii="Calibri" w:hAnsi="Calibri" w:asciiTheme="majorHAnsi" w:hAnsiTheme="majorHAnsi"/>
          <w:color w:val="808080" w:themeColor="background1" w:themeShade="80"/>
          <w:lang w:val="es-ES"/>
        </w:rPr>
      </w:pPr>
      <w:r>
        <w:rPr>
          <w:rFonts w:ascii="Calibri" w:hAnsi="Calibri" w:asciiTheme="majorHAnsi" w:hAnsiTheme="majorHAnsi"/>
          <w:color w:val="808080" w:themeColor="background1" w:themeShade="80"/>
          <w:lang w:val="es-ES"/>
        </w:rPr>
        <w:t>Contribución del análisis económico para mejorar el acceso a intervenciones efectivas de enfermedades infecciosas en países de ingresos bajos y medianos:</w:t>
      </w:r>
    </w:p>
    <w:p>
      <w:pPr>
        <w:pStyle w:val="Normal"/>
        <w:spacing w:lineRule="auto" w:line="360"/>
        <w:rPr>
          <w:rFonts w:ascii="Calibri" w:hAnsi="Calibri" w:asciiTheme="majorHAnsi" w:hAnsiTheme="majorHAnsi"/>
          <w:lang w:val="es-ES"/>
        </w:rPr>
      </w:pPr>
      <w:r>
        <w:rPr>
          <w:rFonts w:ascii="Calibri" w:hAnsi="Calibri" w:asciiTheme="majorHAnsi" w:hAnsiTheme="majorHAnsi"/>
          <w:color w:val="808080" w:themeColor="background1" w:themeShade="80"/>
          <w:lang w:val="es-ES"/>
        </w:rPr>
        <w:t>evidencia de África del norte y subsahariana.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Sergi Alonso (PhD candidate)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Elisa Sicuri (director)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Barcelona Institute for Global Health (ISGlobal)</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Hospital Clínic-Universitat de Barcelona, Barcelona, Spain</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Imperial College London. Faculty of Medicine, School of Public Health.</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London, UK</w:t>
      </w:r>
    </w:p>
    <w:p>
      <w:pPr>
        <w:pStyle w:val="Normal"/>
        <w:spacing w:lineRule="auto" w:line="360"/>
        <w:rPr>
          <w:rFonts w:ascii="Calibri" w:hAnsi="Calibri" w:asciiTheme="majorHAnsi" w:hAnsiTheme="majorHAnsi"/>
          <w:sz w:val="20"/>
          <w:szCs w:val="20"/>
          <w:lang w:val="pt-BR"/>
        </w:rPr>
      </w:pPr>
      <w:r>
        <w:rPr>
          <w:rFonts w:asciiTheme="majorHAnsi" w:hAnsiTheme="majorHAnsi" w:ascii="Calibri" w:hAnsi="Calibri"/>
          <w:sz w:val="20"/>
          <w:szCs w:val="20"/>
          <w:lang w:val="pt-BR"/>
        </w:rPr>
      </w:r>
    </w:p>
    <w:p>
      <w:pPr>
        <w:pStyle w:val="Normal"/>
        <w:spacing w:lineRule="auto" w:line="360"/>
        <w:rPr>
          <w:rFonts w:ascii="Calibri" w:hAnsi="Calibri" w:asciiTheme="majorHAnsi" w:hAnsiTheme="majorHAnsi"/>
          <w:b/>
          <w:b/>
          <w:lang w:val="pt-BR"/>
        </w:rPr>
      </w:pPr>
      <w:r>
        <w:rPr>
          <w:rFonts w:ascii="Calibri" w:hAnsi="Calibri" w:asciiTheme="majorHAnsi" w:hAnsiTheme="majorHAnsi"/>
          <w:b/>
          <w:lang w:val="pt-BR"/>
        </w:rPr>
        <w:t>Dr. Khátia Munguambe (co-director)</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Centro de Investigação em Saúde de Manhiça (CISM)</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Manhiça, Mozambique</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&amp;</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Eduardo Mondlane University</w:t>
      </w:r>
    </w:p>
    <w:p>
      <w:pPr>
        <w:pStyle w:val="Normal"/>
        <w:spacing w:lineRule="auto" w:line="360"/>
        <w:rPr>
          <w:rFonts w:ascii="Calibri" w:hAnsi="Calibri" w:asciiTheme="majorHAnsi" w:hAnsiTheme="majorHAnsi"/>
          <w:sz w:val="20"/>
          <w:szCs w:val="20"/>
          <w:lang w:val="pt-BR"/>
        </w:rPr>
      </w:pPr>
      <w:r>
        <w:rPr>
          <w:rFonts w:ascii="Calibri" w:hAnsi="Calibri" w:asciiTheme="majorHAnsi" w:hAnsiTheme="majorHAnsi"/>
          <w:sz w:val="20"/>
          <w:szCs w:val="20"/>
          <w:lang w:val="pt-BR"/>
        </w:rPr>
        <w:t>Maputo, Mozambique</w:t>
      </w:r>
    </w:p>
    <w:p>
      <w:pPr>
        <w:pStyle w:val="Normal"/>
        <w:spacing w:lineRule="auto" w:line="360"/>
        <w:rPr>
          <w:rFonts w:ascii="Calibri" w:hAnsi="Calibri" w:asciiTheme="majorHAnsi" w:hAnsiTheme="majorHAnsi"/>
          <w:lang w:val="pt-BR"/>
        </w:rPr>
      </w:pPr>
      <w:r>
        <w:rPr>
          <w:rFonts w:asciiTheme="majorHAnsi" w:hAnsiTheme="majorHAnsi" w:ascii="Calibri" w:hAnsi="Calibri"/>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r>
        <w:br w:type="page"/>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highlight w:val="yellow"/>
          <w:lang w:val="pt-BR"/>
        </w:rPr>
      </w:pPr>
      <w:r>
        <w:rPr>
          <w:rFonts w:asciiTheme="majorHAnsi" w:hAnsiTheme="majorHAnsi" w:ascii="Calibri" w:hAnsi="Calibri"/>
          <w:highlight w:val="yellow"/>
          <w:lang w:val="pt-BR"/>
        </w:rPr>
      </w:r>
    </w:p>
    <w:p>
      <w:pPr>
        <w:pStyle w:val="Normal"/>
        <w:rPr>
          <w:rFonts w:ascii="Calibri" w:hAnsi="Calibri" w:asciiTheme="majorHAnsi" w:hAnsiTheme="majorHAnsi"/>
          <w:sz w:val="32"/>
          <w:szCs w:val="32"/>
          <w:highlight w:val="yellow"/>
          <w:lang w:val="pt-BR"/>
        </w:rPr>
      </w:pPr>
      <w:r>
        <w:rPr>
          <w:rFonts w:asciiTheme="majorHAnsi" w:hAnsiTheme="majorHAnsi" w:ascii="Calibri" w:hAnsi="Calibri"/>
          <w:sz w:val="32"/>
          <w:szCs w:val="32"/>
          <w:highlight w:val="yellow"/>
          <w:lang w:val="pt-BR"/>
        </w:rPr>
      </w:r>
    </w:p>
    <w:p>
      <w:pPr>
        <w:pStyle w:val="Normal"/>
        <w:rPr>
          <w:rFonts w:ascii="Calibri" w:hAnsi="Calibri" w:asciiTheme="majorHAnsi" w:hAnsiTheme="majorHAnsi"/>
          <w:i/>
          <w:i/>
          <w:sz w:val="32"/>
          <w:szCs w:val="32"/>
          <w:lang w:val="pt-BR"/>
        </w:rPr>
      </w:pPr>
      <w:r>
        <w:rPr>
          <w:rFonts w:ascii="Calibri" w:hAnsi="Calibri" w:asciiTheme="majorHAnsi" w:hAnsiTheme="majorHAnsi"/>
          <w:i/>
          <w:sz w:val="32"/>
          <w:szCs w:val="32"/>
          <w:lang w:val="pt-BR"/>
        </w:rPr>
        <w:t>“</w:t>
      </w:r>
      <w:r>
        <w:rPr>
          <w:rFonts w:ascii="Calibri" w:hAnsi="Calibri" w:asciiTheme="majorHAnsi" w:hAnsiTheme="majorHAnsi"/>
          <w:i/>
          <w:sz w:val="32"/>
          <w:szCs w:val="32"/>
          <w:lang w:val="pt-BR"/>
        </w:rPr>
        <w:t>A maior desgraça de uma nação pobre é que em vez de produzir riqueza, produz ricos.”</w:t>
      </w:r>
    </w:p>
    <w:p>
      <w:pPr>
        <w:pStyle w:val="Normal"/>
        <w:rPr>
          <w:rFonts w:ascii="Calibri" w:hAnsi="Calibri" w:asciiTheme="majorHAnsi" w:hAnsiTheme="majorHAnsi"/>
          <w:sz w:val="32"/>
          <w:szCs w:val="32"/>
          <w:lang w:val="pt-BR"/>
        </w:rPr>
      </w:pPr>
      <w:r>
        <w:rPr>
          <w:rFonts w:asciiTheme="majorHAnsi" w:hAnsiTheme="majorHAnsi" w:ascii="Calibri" w:hAnsi="Calibri"/>
          <w:sz w:val="32"/>
          <w:szCs w:val="32"/>
          <w:lang w:val="pt-BR"/>
        </w:rPr>
      </w:r>
    </w:p>
    <w:p>
      <w:pPr>
        <w:pStyle w:val="Normal"/>
        <w:rPr>
          <w:rFonts w:ascii="Calibri" w:hAnsi="Calibri" w:asciiTheme="majorHAnsi" w:hAnsiTheme="majorHAnsi"/>
          <w:sz w:val="32"/>
          <w:szCs w:val="32"/>
          <w:lang w:val="en-GB"/>
        </w:rPr>
      </w:pPr>
      <w:r>
        <w:rPr>
          <w:rFonts w:ascii="Calibri" w:hAnsi="Calibri" w:asciiTheme="majorHAnsi" w:hAnsiTheme="majorHAnsi"/>
          <w:sz w:val="32"/>
          <w:szCs w:val="32"/>
          <w:lang w:val="en-GB"/>
        </w:rPr>
        <w:t>- Mia Couto</w:t>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 xml:space="preserve">A mi madre Asunción </w:t>
      </w:r>
    </w:p>
    <w:p>
      <w:pPr>
        <w:pStyle w:val="Normal"/>
        <w:jc w:val="right"/>
        <w:rPr>
          <w:rFonts w:ascii="Calibri" w:hAnsi="Calibri" w:asciiTheme="majorHAnsi" w:hAnsiTheme="majorHAnsi"/>
          <w:i/>
          <w:i/>
          <w:sz w:val="32"/>
          <w:szCs w:val="32"/>
          <w:lang w:val="en-GB"/>
        </w:rPr>
      </w:pPr>
      <w:r>
        <w:rPr>
          <w:rFonts w:ascii="Calibri" w:hAnsi="Calibri" w:asciiTheme="majorHAnsi" w:hAnsiTheme="majorHAnsi"/>
          <w:i/>
          <w:sz w:val="32"/>
          <w:szCs w:val="32"/>
          <w:lang w:val="en-GB"/>
        </w:rPr>
        <w:t>por su amor e infinita generosidad.</w:t>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jc w:val="right"/>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p>
    <w:p>
      <w:pPr>
        <w:pStyle w:val="Normal"/>
        <w:rPr>
          <w:rFonts w:ascii="Calibri" w:hAnsi="Calibri" w:asciiTheme="majorHAnsi" w:hAnsiTheme="majorHAnsi"/>
          <w:i/>
          <w:i/>
          <w:sz w:val="32"/>
          <w:szCs w:val="32"/>
          <w:lang w:val="en-GB"/>
        </w:rPr>
      </w:pPr>
      <w:r>
        <w:rPr>
          <w:rFonts w:asciiTheme="majorHAnsi" w:hAnsiTheme="majorHAnsi" w:ascii="Calibri" w:hAnsi="Calibri"/>
          <w:i/>
          <w:sz w:val="32"/>
          <w:szCs w:val="32"/>
          <w:lang w:val="en-GB"/>
        </w:rPr>
      </w:r>
      <w:r>
        <w:br w:type="page"/>
      </w:r>
    </w:p>
    <w:p>
      <w:pPr>
        <w:pStyle w:val="Normal"/>
        <w:jc w:val="right"/>
        <w:rPr>
          <w:rFonts w:ascii="Calibri" w:hAnsi="Calibri" w:asciiTheme="majorHAnsi" w:hAnsiTheme="majorHAnsi"/>
          <w:highlight w:val="yellow"/>
          <w:lang w:val="en-GB"/>
        </w:rPr>
      </w:pPr>
      <w:r>
        <w:rPr>
          <w:rFonts w:asciiTheme="majorHAnsi" w:hAnsiTheme="majorHAnsi" w:ascii="Calibri" w:hAnsi="Calibri"/>
          <w:highlight w:val="yellow"/>
          <w:lang w:val="en-GB"/>
        </w:rPr>
      </w:r>
      <w:r>
        <w:br w:type="page"/>
      </w:r>
    </w:p>
    <w:sdt>
      <w:sdtPr>
        <w:docPartObj>
          <w:docPartGallery w:val="Table of Contents"/>
          <w:docPartUnique w:val="true"/>
        </w:docPartObj>
        <w:id w:val="985325906"/>
      </w:sdtPr>
      <w:sdtContent>
        <w:p>
          <w:pPr>
            <w:pStyle w:val="TOCHeading"/>
            <w:rPr/>
          </w:pPr>
          <w:r>
            <w:rPr>
              <w:rFonts w:ascii="Calibri" w:hAnsi="Calibri" w:asciiTheme="majorHAnsi" w:hAnsiTheme="majorHAnsi"/>
            </w:rPr>
            <w:t>Table of contents</w:t>
          </w:r>
        </w:p>
        <w:p>
          <w:pPr>
            <w:pStyle w:val="Contents1"/>
            <w:tabs>
              <w:tab w:val="right" w:pos="8828" w:leader="dot"/>
            </w:tabs>
            <w:rPr>
              <w:b w:val="false"/>
              <w:b w:val="false"/>
              <w:lang w:val="en-GB" w:eastAsia="ja-JP"/>
            </w:rPr>
          </w:pPr>
          <w:r>
            <w:fldChar w:fldCharType="begin"/>
          </w:r>
          <w:r>
            <w:instrText> TOC \o "1-3" \h</w:instrText>
          </w:r>
          <w:r>
            <w:fldChar w:fldCharType="separate"/>
          </w:r>
          <w:r>
            <w:rPr>
              <w:rFonts w:ascii="Calibri" w:hAnsi="Calibri" w:asciiTheme="majorHAnsi" w:hAnsiTheme="majorHAnsi"/>
              <w:b w:val="false"/>
            </w:rPr>
            <w:t>Abbreviations and acronyms</w:t>
          </w:r>
          <w:r>
            <w:rPr>
              <w:b w:val="false"/>
            </w:rPr>
            <w:tab/>
            <w:t>11</w:t>
          </w:r>
        </w:p>
        <w:p>
          <w:pPr>
            <w:pStyle w:val="Contents1"/>
            <w:tabs>
              <w:tab w:val="right" w:pos="8828" w:leader="dot"/>
            </w:tabs>
            <w:rPr>
              <w:b w:val="false"/>
              <w:b w:val="false"/>
              <w:lang w:val="en-GB" w:eastAsia="ja-JP"/>
            </w:rPr>
          </w:pPr>
          <w:r>
            <w:rPr>
              <w:rFonts w:ascii="Calibri" w:hAnsi="Calibri" w:asciiTheme="majorHAnsi" w:hAnsiTheme="majorHAnsi"/>
              <w:b w:val="false"/>
            </w:rPr>
            <w:t>Summary</w:t>
          </w:r>
          <w:r>
            <w:rPr>
              <w:b w:val="false"/>
            </w:rPr>
            <w:tab/>
            <w:t>14</w:t>
          </w:r>
        </w:p>
        <w:p>
          <w:pPr>
            <w:pStyle w:val="Contents1"/>
            <w:tabs>
              <w:tab w:val="right" w:pos="8828" w:leader="dot"/>
            </w:tabs>
            <w:rPr>
              <w:b w:val="false"/>
              <w:b w:val="false"/>
              <w:lang w:val="en-GB" w:eastAsia="ja-JP"/>
            </w:rPr>
          </w:pPr>
          <w:r>
            <w:rPr>
              <w:rFonts w:ascii="Calibri" w:hAnsi="Calibri" w:asciiTheme="majorHAnsi" w:hAnsiTheme="majorHAnsi"/>
              <w:b w:val="false"/>
            </w:rPr>
            <w:t>Resumen</w:t>
          </w:r>
          <w:r>
            <w:rPr>
              <w:b w:val="false"/>
            </w:rPr>
            <w:tab/>
            <w:t>21</w:t>
          </w:r>
        </w:p>
        <w:p>
          <w:pPr>
            <w:pStyle w:val="Contents1"/>
            <w:tabs>
              <w:tab w:val="right" w:pos="8828" w:leader="dot"/>
            </w:tabs>
            <w:rPr>
              <w:b w:val="false"/>
              <w:b w:val="false"/>
              <w:lang w:val="en-GB" w:eastAsia="ja-JP"/>
            </w:rPr>
          </w:pPr>
          <w:r>
            <w:rPr>
              <w:rFonts w:ascii="Calibri" w:hAnsi="Calibri" w:asciiTheme="majorHAnsi" w:hAnsiTheme="majorHAnsi"/>
              <w:b w:val="false"/>
            </w:rPr>
            <w:t>I. Introduction</w:t>
          </w:r>
          <w:r>
            <w:rPr>
              <w:b w:val="false"/>
            </w:rPr>
            <w:tab/>
            <w:t>29</w:t>
          </w:r>
        </w:p>
        <w:p>
          <w:pPr>
            <w:pStyle w:val="Contents2"/>
            <w:tabs>
              <w:tab w:val="right" w:pos="8828" w:leader="dot"/>
            </w:tabs>
            <w:rPr>
              <w:b w:val="false"/>
              <w:b w:val="false"/>
              <w:sz w:val="24"/>
              <w:szCs w:val="24"/>
              <w:lang w:val="en-GB" w:eastAsia="ja-JP"/>
            </w:rPr>
          </w:pPr>
          <w:r>
            <w:rPr>
              <w:b w:val="false"/>
              <w:lang w:val="en-GB"/>
            </w:rPr>
            <w:t>1. Infectious diseases and global health challenges</w:t>
          </w:r>
          <w:r>
            <w:rPr>
              <w:b w:val="false"/>
            </w:rPr>
            <w:tab/>
            <w:t>31</w:t>
          </w:r>
        </w:p>
        <w:p>
          <w:pPr>
            <w:pStyle w:val="Contents2"/>
            <w:tabs>
              <w:tab w:val="right" w:pos="8828" w:leader="dot"/>
            </w:tabs>
            <w:rPr>
              <w:b w:val="false"/>
              <w:b w:val="false"/>
              <w:sz w:val="24"/>
              <w:szCs w:val="24"/>
              <w:lang w:val="en-GB" w:eastAsia="ja-JP"/>
            </w:rPr>
          </w:pPr>
          <w:r>
            <w:rPr>
              <w:b w:val="false"/>
              <w:lang w:val="en-GB"/>
            </w:rPr>
            <w:t>2. Contribution of economics to global health and infectious diseases research progress</w:t>
          </w:r>
          <w:r>
            <w:rPr>
              <w:b w:val="false"/>
            </w:rPr>
            <w:tab/>
            <w:t>36</w:t>
          </w:r>
        </w:p>
        <w:p>
          <w:pPr>
            <w:pStyle w:val="Contents2"/>
            <w:tabs>
              <w:tab w:val="right" w:pos="8828" w:leader="dot"/>
            </w:tabs>
            <w:rPr>
              <w:b w:val="false"/>
              <w:b w:val="false"/>
              <w:sz w:val="24"/>
              <w:szCs w:val="24"/>
              <w:lang w:val="en-GB" w:eastAsia="ja-JP"/>
            </w:rPr>
          </w:pPr>
          <w:r>
            <w:rPr>
              <w:b w:val="false"/>
              <w:lang w:val="en-GB"/>
            </w:rPr>
            <w:t>3. Visceral Leishmaniasis (VL)</w:t>
          </w:r>
          <w:r>
            <w:rPr>
              <w:b w:val="false"/>
            </w:rPr>
            <w:tab/>
            <w:t>44</w:t>
          </w:r>
        </w:p>
        <w:p>
          <w:pPr>
            <w:pStyle w:val="Contents2"/>
            <w:tabs>
              <w:tab w:val="right" w:pos="8828" w:leader="dot"/>
            </w:tabs>
            <w:rPr>
              <w:b w:val="false"/>
              <w:b w:val="false"/>
              <w:sz w:val="24"/>
              <w:szCs w:val="24"/>
              <w:lang w:val="en-GB" w:eastAsia="ja-JP"/>
            </w:rPr>
          </w:pPr>
          <w:r>
            <w:rPr>
              <w:b w:val="false"/>
              <w:lang w:val="en-GB"/>
            </w:rPr>
            <w:t>4. Malaria</w:t>
          </w:r>
          <w:r>
            <w:rPr>
              <w:b w:val="false"/>
            </w:rPr>
            <w:tab/>
            <w:t>47</w:t>
          </w:r>
        </w:p>
        <w:p>
          <w:pPr>
            <w:pStyle w:val="Contents2"/>
            <w:tabs>
              <w:tab w:val="right" w:pos="8828" w:leader="dot"/>
            </w:tabs>
            <w:rPr>
              <w:b w:val="false"/>
              <w:b w:val="false"/>
              <w:sz w:val="24"/>
              <w:szCs w:val="24"/>
              <w:lang w:val="en-GB" w:eastAsia="ja-JP"/>
            </w:rPr>
          </w:pPr>
          <w:r>
            <w:rPr>
              <w:b w:val="false"/>
              <w:lang w:val="en-GB"/>
            </w:rPr>
            <w:t>5. Human papillomavirus (HPV)</w:t>
          </w:r>
          <w:r>
            <w:rPr>
              <w:b w:val="false"/>
            </w:rPr>
            <w:tab/>
            <w:t>52</w:t>
          </w:r>
        </w:p>
        <w:p>
          <w:pPr>
            <w:pStyle w:val="Contents1"/>
            <w:tabs>
              <w:tab w:val="right" w:pos="8828" w:leader="dot"/>
            </w:tabs>
            <w:rPr>
              <w:b w:val="false"/>
              <w:b w:val="false"/>
              <w:lang w:val="en-GB" w:eastAsia="ja-JP"/>
            </w:rPr>
          </w:pPr>
          <w:r>
            <w:rPr>
              <w:rFonts w:ascii="Calibri" w:hAnsi="Calibri" w:asciiTheme="majorHAnsi" w:hAnsiTheme="majorHAnsi"/>
              <w:b w:val="false"/>
            </w:rPr>
            <w:t>II. Objectives</w:t>
          </w:r>
          <w:r>
            <w:rPr>
              <w:b w:val="false"/>
            </w:rPr>
            <w:tab/>
            <w:t>56</w:t>
          </w:r>
        </w:p>
        <w:p>
          <w:pPr>
            <w:pStyle w:val="Contents1"/>
            <w:tabs>
              <w:tab w:val="right" w:pos="8828" w:leader="dot"/>
            </w:tabs>
            <w:rPr>
              <w:b w:val="false"/>
              <w:b w:val="false"/>
              <w:lang w:val="en-GB" w:eastAsia="ja-JP"/>
            </w:rPr>
          </w:pPr>
          <w:r>
            <w:rPr>
              <w:rFonts w:ascii="Calibri" w:hAnsi="Calibri" w:asciiTheme="majorHAnsi" w:hAnsiTheme="majorHAnsi"/>
              <w:b w:val="false"/>
            </w:rPr>
            <w:t>III. Materials and methods</w:t>
          </w:r>
          <w:r>
            <w:rPr>
              <w:b w:val="false"/>
            </w:rPr>
            <w:tab/>
            <w:t>61</w:t>
          </w:r>
        </w:p>
        <w:p>
          <w:pPr>
            <w:pStyle w:val="Contents2"/>
            <w:tabs>
              <w:tab w:val="right" w:pos="8828" w:leader="dot"/>
            </w:tabs>
            <w:rPr>
              <w:b w:val="false"/>
              <w:b w:val="false"/>
              <w:sz w:val="24"/>
              <w:szCs w:val="24"/>
              <w:lang w:val="en-GB" w:eastAsia="ja-JP"/>
            </w:rPr>
          </w:pPr>
          <w:r>
            <w:rPr>
              <w:b w:val="false"/>
              <w:lang w:val="en-GB"/>
            </w:rPr>
            <w:t>1. Study areas</w:t>
          </w:r>
          <w:r>
            <w:rPr>
              <w:b w:val="false"/>
            </w:rPr>
            <w:tab/>
            <w:t>63</w:t>
          </w:r>
        </w:p>
        <w:p>
          <w:pPr>
            <w:pStyle w:val="Contents2"/>
            <w:tabs>
              <w:tab w:val="right" w:pos="8828" w:leader="dot"/>
            </w:tabs>
            <w:rPr>
              <w:b w:val="false"/>
              <w:b w:val="false"/>
              <w:sz w:val="24"/>
              <w:szCs w:val="24"/>
              <w:lang w:val="en-GB" w:eastAsia="ja-JP"/>
            </w:rPr>
          </w:pPr>
          <w:r>
            <w:rPr>
              <w:b w:val="false"/>
              <w:lang w:val="en-GB"/>
            </w:rPr>
            <w:t>2. Study methodology</w:t>
          </w:r>
          <w:r>
            <w:rPr>
              <w:b w:val="false"/>
            </w:rPr>
            <w:tab/>
            <w:t>65</w:t>
          </w:r>
        </w:p>
        <w:p>
          <w:pPr>
            <w:pStyle w:val="Contents1"/>
            <w:tabs>
              <w:tab w:val="right" w:pos="8828" w:leader="dot"/>
            </w:tabs>
            <w:rPr>
              <w:b w:val="false"/>
              <w:b w:val="false"/>
              <w:lang w:val="en-GB" w:eastAsia="ja-JP"/>
            </w:rPr>
          </w:pPr>
          <w:r>
            <w:rPr>
              <w:rFonts w:ascii="Calibri" w:hAnsi="Calibri" w:asciiTheme="majorHAnsi" w:hAnsiTheme="majorHAnsi"/>
              <w:b w:val="false"/>
            </w:rPr>
            <w:t>IV. Results</w:t>
          </w:r>
          <w:r>
            <w:rPr>
              <w:b w:val="false"/>
            </w:rPr>
            <w:tab/>
            <w:t>69</w:t>
          </w:r>
        </w:p>
        <w:p>
          <w:pPr>
            <w:pStyle w:val="Contents2"/>
            <w:tabs>
              <w:tab w:val="right" w:pos="8828" w:leader="dot"/>
            </w:tabs>
            <w:rPr>
              <w:b w:val="false"/>
              <w:b w:val="false"/>
              <w:sz w:val="24"/>
              <w:szCs w:val="24"/>
              <w:lang w:val="en-GB" w:eastAsia="ja-JP"/>
            </w:rPr>
          </w:pPr>
          <w:r>
            <w:rPr>
              <w:b w:val="false"/>
              <w:lang w:val="en-GB"/>
            </w:rPr>
            <w:t>Article 1</w:t>
          </w:r>
          <w:r>
            <w:rPr>
              <w:b w:val="false"/>
            </w:rPr>
            <w:tab/>
            <w:t>71</w:t>
          </w:r>
        </w:p>
        <w:p>
          <w:pPr>
            <w:pStyle w:val="Contents2"/>
            <w:tabs>
              <w:tab w:val="right" w:pos="8828" w:leader="dot"/>
            </w:tabs>
            <w:rPr>
              <w:b w:val="false"/>
              <w:b w:val="false"/>
              <w:sz w:val="24"/>
              <w:szCs w:val="24"/>
              <w:lang w:val="en-GB" w:eastAsia="ja-JP"/>
            </w:rPr>
          </w:pPr>
          <w:r>
            <w:rPr>
              <w:b w:val="false"/>
              <w:lang w:val="en-GB"/>
            </w:rPr>
            <w:t>Article 2</w:t>
          </w:r>
          <w:r>
            <w:rPr>
              <w:b w:val="false"/>
            </w:rPr>
            <w:tab/>
            <w:t>93</w:t>
          </w:r>
        </w:p>
        <w:p>
          <w:pPr>
            <w:pStyle w:val="Contents2"/>
            <w:tabs>
              <w:tab w:val="right" w:pos="8828" w:leader="dot"/>
            </w:tabs>
            <w:rPr>
              <w:b w:val="false"/>
              <w:b w:val="false"/>
              <w:sz w:val="24"/>
              <w:szCs w:val="24"/>
              <w:lang w:val="en-GB" w:eastAsia="ja-JP"/>
            </w:rPr>
          </w:pPr>
          <w:r>
            <w:rPr>
              <w:b w:val="false"/>
              <w:lang w:val="en-GB"/>
            </w:rPr>
            <w:t>Article 3</w:t>
          </w:r>
          <w:r>
            <w:rPr>
              <w:b w:val="false"/>
            </w:rPr>
            <w:tab/>
            <w:t>115</w:t>
          </w:r>
        </w:p>
        <w:p>
          <w:pPr>
            <w:pStyle w:val="Contents2"/>
            <w:tabs>
              <w:tab w:val="right" w:pos="8828" w:leader="dot"/>
            </w:tabs>
            <w:rPr>
              <w:b w:val="false"/>
              <w:b w:val="false"/>
              <w:sz w:val="24"/>
              <w:szCs w:val="24"/>
              <w:lang w:val="en-GB" w:eastAsia="ja-JP"/>
            </w:rPr>
          </w:pPr>
          <w:r>
            <w:rPr>
              <w:b w:val="false"/>
              <w:lang w:val="en-GB"/>
            </w:rPr>
            <w:t>Article 4</w:t>
          </w:r>
          <w:r>
            <w:rPr>
              <w:b w:val="false"/>
            </w:rPr>
            <w:tab/>
            <w:t>138</w:t>
          </w:r>
        </w:p>
        <w:p>
          <w:pPr>
            <w:pStyle w:val="Contents1"/>
            <w:tabs>
              <w:tab w:val="right" w:pos="8828" w:leader="dot"/>
            </w:tabs>
            <w:rPr>
              <w:b w:val="false"/>
              <w:b w:val="false"/>
              <w:lang w:val="en-GB" w:eastAsia="ja-JP"/>
            </w:rPr>
          </w:pPr>
          <w:r>
            <w:rPr>
              <w:rFonts w:ascii="Calibri" w:hAnsi="Calibri" w:asciiTheme="majorHAnsi" w:hAnsiTheme="majorHAnsi"/>
              <w:b w:val="false"/>
            </w:rPr>
            <w:t>V. Summary of results and discussion</w:t>
          </w:r>
          <w:r>
            <w:rPr>
              <w:b w:val="false"/>
            </w:rPr>
            <w:tab/>
            <w:t>177</w:t>
          </w:r>
        </w:p>
        <w:p>
          <w:pPr>
            <w:pStyle w:val="Contents1"/>
            <w:tabs>
              <w:tab w:val="right" w:pos="8828" w:leader="dot"/>
            </w:tabs>
            <w:rPr>
              <w:b w:val="false"/>
              <w:b w:val="false"/>
              <w:lang w:val="en-GB" w:eastAsia="ja-JP"/>
            </w:rPr>
          </w:pPr>
          <w:r>
            <w:rPr>
              <w:rFonts w:ascii="Calibri" w:hAnsi="Calibri" w:asciiTheme="majorHAnsi" w:hAnsiTheme="majorHAnsi"/>
              <w:b w:val="false"/>
            </w:rPr>
            <w:t>VI. Conclusions</w:t>
          </w:r>
          <w:r>
            <w:rPr>
              <w:b w:val="false"/>
            </w:rPr>
            <w:tab/>
            <w:t>185</w:t>
          </w:r>
        </w:p>
        <w:p>
          <w:pPr>
            <w:pStyle w:val="Contents1"/>
            <w:tabs>
              <w:tab w:val="right" w:pos="8828" w:leader="dot"/>
            </w:tabs>
            <w:rPr>
              <w:b w:val="false"/>
              <w:b w:val="false"/>
              <w:lang w:val="en-GB" w:eastAsia="ja-JP"/>
            </w:rPr>
          </w:pPr>
          <w:r>
            <w:rPr>
              <w:rFonts w:ascii="Calibri" w:hAnsi="Calibri" w:asciiTheme="majorHAnsi" w:hAnsiTheme="majorHAnsi"/>
              <w:b w:val="false"/>
            </w:rPr>
            <w:t>References</w:t>
          </w:r>
          <w:r>
            <w:rPr>
              <w:b w:val="false"/>
            </w:rPr>
            <w:tab/>
            <w:t>190</w:t>
          </w:r>
        </w:p>
        <w:p>
          <w:pPr>
            <w:pStyle w:val="Contents1"/>
            <w:tabs>
              <w:tab w:val="right" w:pos="8828" w:leader="dot"/>
            </w:tabs>
            <w:rPr>
              <w:b w:val="false"/>
              <w:b w:val="false"/>
              <w:lang w:val="en-GB" w:eastAsia="ja-JP"/>
            </w:rPr>
          </w:pPr>
          <w:r>
            <w:rPr>
              <w:rFonts w:ascii="Calibri" w:hAnsi="Calibri" w:asciiTheme="majorHAnsi" w:hAnsiTheme="majorHAnsi"/>
              <w:b w:val="false"/>
            </w:rPr>
            <w:t>Agradecimientos</w:t>
          </w:r>
          <w:r>
            <w:rPr>
              <w:b w:val="false"/>
            </w:rPr>
            <w:tab/>
            <w:t>211</w:t>
          </w:r>
        </w:p>
        <w:p>
          <w:pPr>
            <w:pStyle w:val="Normal"/>
            <w:rPr>
              <w:rFonts w:ascii="Calibri" w:hAnsi="Calibri" w:asciiTheme="majorHAnsi" w:hAnsiTheme="majorHAnsi"/>
              <w:lang w:val="en-GB"/>
            </w:rPr>
          </w:pPr>
          <w:r>
            <w:rPr>
              <w:rFonts w:asciiTheme="majorHAnsi" w:hAnsiTheme="majorHAnsi" w:ascii="Calibri" w:hAnsi="Calibri"/>
              <w:lang w:val="en-GB"/>
            </w:rPr>
          </w:r>
          <w:r>
            <w:fldChar w:fldCharType="end"/>
          </w:r>
        </w:p>
      </w:sdtContent>
    </w:sdt>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0" w:name="_Toc382138178"/>
      <w:bookmarkEnd w:id="0"/>
      <w:r>
        <w:rPr>
          <w:rFonts w:ascii="Calibri" w:hAnsi="Calibri" w:asciiTheme="majorHAnsi" w:hAnsiTheme="majorHAnsi"/>
        </w:rPr>
        <w:t>Abbreviations and acronyms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638" w:type="dxa"/>
        <w:jc w:val="left"/>
        <w:tblInd w:w="0" w:type="dxa"/>
        <w:tblCellMar>
          <w:top w:w="0" w:type="dxa"/>
          <w:left w:w="113" w:type="dxa"/>
          <w:bottom w:w="0" w:type="dxa"/>
          <w:right w:w="108" w:type="dxa"/>
        </w:tblCellMar>
        <w:tblLook w:val="04a0" w:noVBand="1" w:noHBand="0" w:lastColumn="0" w:firstColumn="1" w:lastRow="0" w:firstRow="1"/>
      </w:tblPr>
      <w:tblGrid>
        <w:gridCol w:w="1242"/>
        <w:gridCol w:w="7395"/>
      </w:tblGrid>
      <w:tr>
        <w:trPr/>
        <w:tc>
          <w:tcPr>
            <w:tcW w:w="1242"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ACT</w:t>
            </w:r>
          </w:p>
        </w:tc>
        <w:tc>
          <w:tcPr>
            <w:tcW w:w="7395" w:type="dxa"/>
            <w:tcBorders>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artemisinin-based combination therapy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AIDS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acquired immune deficiency syndrome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artemether-lumefantrine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AQ</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amodiaquine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artesunate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bone marrow</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CISM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pt-BR"/>
              </w:rPr>
            </w:pPr>
            <w:r>
              <w:rPr>
                <w:rFonts w:ascii="Calibri" w:hAnsi="Calibri" w:asciiTheme="majorHAnsi" w:hAnsiTheme="majorHAnsi"/>
                <w:lang w:val="pt-BR"/>
              </w:rPr>
              <w:t>Centro de Investigação em Saúde de Manhiça</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DALY</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disability-adjusted life year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EPI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expanded programme on immunisation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GDP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gross domestic product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HDI</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development index</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HDSS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and demographic surveillance system</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high-income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HIV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immunodeficiency 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HPV</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HTA</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health technology assessment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IPTp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intermittent preventive treatment in pregnancy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IRS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indoor residual spraying</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ISGlobal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Barcelona Institute for Global Health</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ITN</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insecticide-treated mosquito net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IVM</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integrated vector management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L-AmB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liposomal amphotericin B</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low- and middle-income countries</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Millennium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MIC</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middle-income country</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NTD</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neglected tropical disease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PCR</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polymerase chain reaction</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PPP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public-private partnership</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RDT</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rapid diagnostic test</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SB</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meglumine antimoniate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SDG</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Sustainable Development Goal</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SP</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sulfadoxine-pyrimethamine</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USD/US$</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United States Dollar</w:t>
            </w:r>
          </w:p>
        </w:tc>
      </w:tr>
      <w:tr>
        <w:trPr/>
        <w:tc>
          <w:tcPr>
            <w:tcW w:w="1242"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VL</w:t>
            </w:r>
          </w:p>
        </w:tc>
        <w:tc>
          <w:tcPr>
            <w:tcW w:w="7395"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visceral leishmaniasis</w:t>
            </w:r>
          </w:p>
        </w:tc>
      </w:tr>
      <w:tr>
        <w:trPr/>
        <w:tc>
          <w:tcPr>
            <w:tcW w:w="1242"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WHO</w:t>
            </w:r>
          </w:p>
        </w:tc>
        <w:tc>
          <w:tcPr>
            <w:tcW w:w="7395" w:type="dxa"/>
            <w:tcBorders>
              <w:top w:val="nil"/>
              <w:left w:val="nil"/>
              <w:right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rPr>
      </w:pPr>
      <w:bookmarkStart w:id="1" w:name="_Toc382138179"/>
      <w:bookmarkEnd w:id="1"/>
      <w:r>
        <w:rPr>
          <w:rFonts w:ascii="Calibri" w:hAnsi="Calibri" w:asciiTheme="majorHAnsi" w:hAnsiTheme="majorHAnsi"/>
        </w:rPr>
        <w:t>Summary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Background</w:t>
      </w:r>
    </w:p>
    <w:p>
      <w:pPr>
        <w:pStyle w:val="Normal"/>
        <w:spacing w:lineRule="auto" w:line="360"/>
        <w:rPr/>
      </w:pPr>
      <w:r>
        <w:rPr>
          <w:rFonts w:ascii="Calibri" w:hAnsi="Calibri" w:asciiTheme="majorHAnsi" w:hAnsiTheme="majorHAnsi"/>
          <w:lang w:val="en-GB"/>
        </w:rPr>
        <w:t xml:space="preserve">Low- and middle-income countries (LMICs), most of Sub-Saharan African countries in particular, still bear most of the worldwide infectious disease burden. In those countries, </w:t>
      </w:r>
      <w:del w:id="3" w:author="Unknown Author" w:date="2018-04-12T10:18:00Z">
        <w:r>
          <w:rPr>
            <w:rFonts w:ascii="Calibri" w:hAnsi="Calibri" w:asciiTheme="majorHAnsi" w:hAnsiTheme="majorHAnsi"/>
            <w:lang w:val="en-GB"/>
          </w:rPr>
          <w:delText>poorest individuals concentrate</w:delText>
        </w:r>
      </w:del>
      <w:r>
        <w:rPr>
          <w:rFonts w:ascii="Calibri" w:hAnsi="Calibri" w:asciiTheme="majorHAnsi" w:hAnsiTheme="majorHAnsi"/>
          <w:lang w:val="en-GB"/>
        </w:rPr>
        <w:t xml:space="preserve"> most of the infectious disease morbidity and mortality burden</w:t>
      </w:r>
      <w:ins w:id="4" w:author="Unknown Author" w:date="2018-04-12T10:19:00Z">
        <w:r>
          <w:rPr>
            <w:rFonts w:ascii="Calibri" w:hAnsi="Calibri" w:asciiTheme="majorHAnsi" w:hAnsiTheme="majorHAnsi"/>
            <w:lang w:val="en-GB"/>
          </w:rPr>
          <w:t xml:space="preserve"> </w:t>
        </w:r>
      </w:ins>
      <w:ins w:id="5" w:author="Unknown Author" w:date="2018-04-12T10:19:00Z">
        <w:r>
          <w:rPr>
            <w:rFonts w:ascii="Calibri" w:hAnsi="Calibri" w:asciiTheme="majorHAnsi" w:hAnsiTheme="majorHAnsi"/>
            <w:lang w:val="en-GB"/>
          </w:rPr>
          <w:t>are concentrated among the poorest individuals</w:t>
        </w:r>
      </w:ins>
      <w:r>
        <w:rPr>
          <w:rFonts w:ascii="Calibri" w:hAnsi="Calibri" w:asciiTheme="majorHAnsi" w:hAnsiTheme="majorHAnsi"/>
          <w:lang w:val="en-GB"/>
        </w:rPr>
        <w:t xml:space="preserve">, consequent to poor access to proper sanitation, poor access to quality healthcare and to the high economic and financial risks the poor incur, such as unprotected unemployment or unstable and low remunerated informal employment. Middle-income countries are significantly reducing the burden of infectious diseases, but they are still facing a high burden of neglected tropical diseases (NTDs), which are closely associated </w:t>
      </w:r>
      <w:ins w:id="6" w:author="Unknown Author" w:date="2018-04-12T10:19:00Z">
        <w:r>
          <w:rPr>
            <w:rFonts w:ascii="Calibri" w:hAnsi="Calibri" w:asciiTheme="majorHAnsi" w:hAnsiTheme="majorHAnsi"/>
            <w:lang w:val="en-GB"/>
          </w:rPr>
          <w:t>with</w:t>
        </w:r>
      </w:ins>
      <w:del w:id="7" w:author="Unknown Author" w:date="2018-04-12T10:19:00Z">
        <w:r>
          <w:rPr>
            <w:rFonts w:ascii="Calibri" w:hAnsi="Calibri" w:asciiTheme="majorHAnsi" w:hAnsiTheme="majorHAnsi"/>
            <w:lang w:val="en-GB"/>
          </w:rPr>
          <w:delText>to</w:delText>
        </w:r>
      </w:del>
      <w:r>
        <w:rPr>
          <w:rFonts w:ascii="Calibri" w:hAnsi="Calibri" w:asciiTheme="majorHAnsi" w:hAnsiTheme="majorHAnsi"/>
          <w:lang w:val="en-GB"/>
        </w:rPr>
        <w:t xml:space="preserve"> poverty.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During the last </w:t>
      </w:r>
      <w:ins w:id="8" w:author="Unknown Author" w:date="2018-04-12T10:19:00Z">
        <w:r>
          <w:rPr>
            <w:rFonts w:ascii="Calibri" w:hAnsi="Calibri" w:asciiTheme="majorHAnsi" w:hAnsiTheme="majorHAnsi"/>
            <w:lang w:val="en-GB"/>
          </w:rPr>
          <w:t xml:space="preserve">few </w:t>
        </w:r>
      </w:ins>
      <w:r>
        <w:rPr>
          <w:rFonts w:ascii="Calibri" w:hAnsi="Calibri" w:asciiTheme="majorHAnsi" w:hAnsiTheme="majorHAnsi"/>
          <w:lang w:val="en-GB"/>
        </w:rPr>
        <w:t xml:space="preserve">decades, </w:t>
      </w:r>
      <w:del w:id="9" w:author="Unknown Author" w:date="2018-04-12T10: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for the support of healthcare in LMIC led to substantial advances in the fight against infectious diseases by increasing access to prevention and treatment. Despite such achievements, the challenges of global health remain twofold: developing new effective tools and make them </w:t>
      </w:r>
      <w:ins w:id="10" w:author="Unknown Author" w:date="2018-04-12T10:54:00Z">
        <w:r>
          <w:rPr>
            <w:rFonts w:ascii="Calibri" w:hAnsi="Calibri" w:asciiTheme="majorHAnsi" w:hAnsiTheme="majorHAnsi"/>
            <w:lang w:val="en-GB"/>
          </w:rPr>
          <w:t>within reach</w:t>
        </w:r>
      </w:ins>
      <w:del w:id="11" w:author="Unknown Author" w:date="2018-04-12T10:54:00Z">
        <w:r>
          <w:rPr>
            <w:rFonts w:ascii="Calibri" w:hAnsi="Calibri" w:asciiTheme="majorHAnsi" w:hAnsiTheme="majorHAnsi"/>
            <w:lang w:val="en-GB"/>
          </w:rPr>
          <w:delText>at the reach</w:delText>
        </w:r>
      </w:del>
      <w:r>
        <w:rPr>
          <w:rFonts w:ascii="Calibri" w:hAnsi="Calibri" w:asciiTheme="majorHAnsi" w:hAnsiTheme="majorHAnsi"/>
          <w:lang w:val="en-GB"/>
        </w:rPr>
        <w:t xml:space="preserve"> of the worldwide population.</w:t>
      </w:r>
      <w:del w:id="12" w:author="Unknown Author" w:date="2018-04-12T10:19:00Z">
        <w:r>
          <w:rPr>
            <w:rFonts w:ascii="Calibri" w:hAnsi="Calibri" w:asciiTheme="majorHAnsi" w:hAnsiTheme="majorHAnsi"/>
            <w:lang w:val="en-GB"/>
          </w:rPr>
          <w:delText xml:space="preserve"> During the last decades </w:delText>
        </w:r>
      </w:del>
      <w:ins w:id="13" w:author="Unknown Author" w:date="2018-04-12T10:19:00Z">
        <w:r>
          <w:rPr>
            <w:rFonts w:ascii="Calibri" w:hAnsi="Calibri" w:asciiTheme="majorHAnsi" w:hAnsiTheme="majorHAnsi"/>
            <w:lang w:val="en-GB"/>
          </w:rPr>
          <w:t>S</w:t>
        </w:r>
      </w:ins>
      <w:ins w:id="14" w:author="Unknown Author" w:date="2018-04-12T10:19:00Z">
        <w:r>
          <w:rPr>
            <w:rFonts w:ascii="Calibri" w:hAnsi="Calibri" w:asciiTheme="majorHAnsi" w:hAnsiTheme="majorHAnsi"/>
            <w:lang w:val="en-GB"/>
          </w:rPr>
          <w:commentReference w:id="0"/>
        </w:r>
      </w:ins>
      <w:del w:id="15" w:author="Unknown Author" w:date="2018-04-12T10:19:00Z">
        <w:r>
          <w:rPr>
            <w:rFonts w:ascii="Calibri" w:hAnsi="Calibri" w:asciiTheme="majorHAnsi" w:hAnsiTheme="majorHAnsi"/>
            <w:lang w:val="en-GB"/>
          </w:rPr>
          <w:delText>s</w:delText>
        </w:r>
      </w:del>
      <w:r>
        <w:rPr>
          <w:rFonts w:ascii="Calibri" w:hAnsi="Calibri" w:asciiTheme="majorHAnsi" w:hAnsiTheme="majorHAnsi"/>
          <w:lang w:val="en-GB"/>
        </w:rPr>
        <w:t>everal initiatives fostered the development of new vaccines, new drugs and new diagnostic tools for LMICs. However, research and development is a constant challenge due to the increasing drug resistance issues and access to healthcare remains an unsolved problem for several pockets of hard-to-reach population.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challenge of reaching remote rural communities with new technology is aggravated by the fact that access to healthcare in LMICs is limited </w:t>
      </w:r>
      <w:r>
        <w:rPr>
          <w:rFonts w:ascii="Calibri" w:hAnsi="Calibri" w:asciiTheme="majorHAnsi" w:hAnsiTheme="majorHAnsi"/>
          <w:i/>
          <w:lang w:val="en-GB"/>
        </w:rPr>
        <w:t xml:space="preserve">per se, </w:t>
      </w:r>
      <w:r>
        <w:rPr>
          <w:rFonts w:ascii="Calibri" w:hAnsi="Calibri" w:asciiTheme="majorHAnsi" w:hAnsiTheme="majorHAnsi"/>
          <w:lang w:val="en-GB"/>
        </w:rPr>
        <w:t>that is, it is limited even with old technologies. Supply side challenges include limited provision of health products leading to drugs, vaccines or diagnostics stock-outs, and reduced healthcare quality. Demand side challenges consist of limited access for those living in remote rural communities, lack of disease information and reduced financial resources.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work focuses on </w:t>
      </w:r>
      <w:ins w:id="16" w:author="Unknown Author" w:date="2018-04-12T10:20:00Z">
        <w:r>
          <w:rPr>
            <w:rFonts w:ascii="Calibri" w:hAnsi="Calibri" w:asciiTheme="majorHAnsi" w:hAnsiTheme="majorHAnsi"/>
            <w:lang w:val="en-GB"/>
          </w:rPr>
          <w:t xml:space="preserve">two </w:t>
        </w:r>
      </w:ins>
      <w:r>
        <w:rPr>
          <w:rFonts w:ascii="Calibri" w:hAnsi="Calibri" w:asciiTheme="majorHAnsi" w:hAnsiTheme="majorHAnsi"/>
          <w:lang w:val="en-GB"/>
        </w:rPr>
        <w:t xml:space="preserve">selected infectious diseases (visceral leishmaniasis, malaria and human papilloma virus) in two countries of the African continent, one classified as middle-income (Morocco) and one as low-income (Mozambique). The two countries have different cultural, socio-economic and health system characteristics and are at different stages of their epidemiological transition from infectious to </w:t>
      </w:r>
      <w:ins w:id="17" w:author="Unknown Author" w:date="2018-04-12T10:21:00Z">
        <w:r>
          <w:rPr>
            <w:rFonts w:ascii="Calibri" w:hAnsi="Calibri" w:asciiTheme="majorHAnsi" w:hAnsiTheme="majorHAnsi"/>
            <w:lang w:val="en-GB"/>
          </w:rPr>
          <w:t>non-</w:t>
        </w:r>
      </w:ins>
      <w:del w:id="18" w:author="Unknown Author" w:date="2018-04-12T10:21:00Z">
        <w:r>
          <w:rPr>
            <w:rFonts w:ascii="Calibri" w:hAnsi="Calibri" w:asciiTheme="majorHAnsi" w:hAnsiTheme="majorHAnsi"/>
            <w:lang w:val="en-GB"/>
          </w:rPr>
          <w:delText>un</w:delText>
        </w:r>
      </w:del>
      <w:r>
        <w:rPr>
          <w:rFonts w:ascii="Calibri" w:hAnsi="Calibri" w:asciiTheme="majorHAnsi" w:hAnsiTheme="majorHAnsi"/>
          <w:lang w:val="en-GB"/>
        </w:rPr>
        <w:t xml:space="preserve">communicable diseases. However, the two countries face similar challenges in the management of infectious diseases; in particular, infectious diseases remain highly concentrated among the poorest individuals in both countries.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Visceral leishmaniasis (VL) is a life-threatening NTD with an estimated annual incidence of 389,100 cases worldwide (</w:t>
      </w:r>
      <w:del w:id="19" w:author="Unknown Author" w:date="2018-04-12T10:21: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2010). The most effective treatment is highly expensive and its procurement at a reduced price only applies to low-income countries, excluding middle-income countries such as Morocco. Morocco is currently dealing with a high burden of non-communicable diseases, such as diabetes, but also of NTDs such as trichuriasis, ascariasis and leishmaniases both in its cutaneous and visceral forms. </w:t>
      </w:r>
      <w:ins w:id="20" w:author="Unknown Author" w:date="2018-04-12T10:21:00Z">
        <w:r>
          <w:rPr>
            <w:rFonts w:ascii="Calibri" w:hAnsi="Calibri" w:asciiTheme="majorHAnsi" w:hAnsiTheme="majorHAnsi"/>
            <w:lang w:val="en-GB"/>
          </w:rPr>
          <w:t>T</w:t>
        </w:r>
      </w:ins>
      <w:del w:id="21" w:author="Unknown Author" w:date="2018-04-12T10:21:00Z">
        <w:r>
          <w:rPr>
            <w:rFonts w:ascii="Calibri" w:hAnsi="Calibri" w:asciiTheme="majorHAnsi" w:hAnsiTheme="majorHAnsi"/>
            <w:lang w:val="en-GB"/>
          </w:rPr>
          <w:delText>Unfo</w:delText>
        </w:r>
      </w:del>
      <w:ins w:id="22" w:author="Unknown Author" w:date="2018-04-12T10:21:00Z">
        <w:r>
          <w:rPr>
            <w:rFonts w:ascii="Calibri" w:hAnsi="Calibri" w:asciiTheme="majorHAnsi" w:hAnsiTheme="majorHAnsi"/>
            <w:lang w:val="en-GB"/>
          </w:rPr>
          <w:commentReference w:id="1"/>
        </w:r>
      </w:ins>
      <w:del w:id="23" w:author="Unknown Author" w:date="2018-04-12T10:21:00Z">
        <w:r>
          <w:rPr>
            <w:rFonts w:ascii="Calibri" w:hAnsi="Calibri" w:asciiTheme="majorHAnsi" w:hAnsiTheme="majorHAnsi"/>
            <w:lang w:val="en-GB"/>
          </w:rPr>
          <w:delText>rtunately, t</w:delText>
        </w:r>
      </w:del>
      <w:r>
        <w:rPr>
          <w:rFonts w:ascii="Calibri" w:hAnsi="Calibri" w:asciiTheme="majorHAnsi" w:hAnsiTheme="majorHAnsi"/>
          <w:lang w:val="en-GB"/>
        </w:rPr>
        <w:t>he introduction of new technologies for VL, such as rapid diagnostic tests, is currently not a priority for the Moroccan Ministry of Health, despite being inexpensive, non-invasive and highly sensitive tools for the prompt detection of the infection.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is a parasitic disease transmitted by mosquitoes. In 2015 the estimated global burden of malaria reached 212 million cases and 429,000 related deaths, most of them </w:t>
      </w:r>
      <w:del w:id="24" w:author="Unknown Author" w:date="2018-04-12T10:22:00Z">
        <w:r>
          <w:rPr>
            <w:rFonts w:ascii="Calibri" w:hAnsi="Calibri" w:asciiTheme="majorHAnsi" w:hAnsiTheme="majorHAnsi"/>
            <w:lang w:val="en-GB"/>
          </w:rPr>
          <w:delText xml:space="preserve">occurring </w:delText>
        </w:r>
      </w:del>
      <w:r>
        <w:rPr>
          <w:rFonts w:ascii="Calibri" w:hAnsi="Calibri" w:asciiTheme="majorHAnsi" w:hAnsiTheme="majorHAnsi"/>
          <w:lang w:val="en-GB"/>
        </w:rPr>
        <w:t xml:space="preserve">in Sub-Saharan Africa. Effective treatments and preventive measures to control malaria, such as insecticide impregnated bed nets, </w:t>
      </w:r>
      <w:del w:id="25" w:author="Unknown Author" w:date="2018-04-12T10:22:00Z">
        <w:r>
          <w:rPr>
            <w:rFonts w:ascii="Calibri" w:hAnsi="Calibri" w:asciiTheme="majorHAnsi" w:hAnsiTheme="majorHAnsi"/>
            <w:lang w:val="en-GB"/>
          </w:rPr>
          <w:delText>allowed</w:delText>
        </w:r>
      </w:del>
      <w:ins w:id="26" w:author="Unknown Author" w:date="2018-04-12T10:22:00Z">
        <w:r>
          <w:rPr>
            <w:rFonts w:ascii="Calibri" w:hAnsi="Calibri" w:asciiTheme="majorHAnsi" w:hAnsiTheme="majorHAnsi"/>
            <w:lang w:val="en-GB"/>
          </w:rPr>
          <w:t>has lead to</w:t>
        </w:r>
      </w:ins>
      <w:r>
        <w:rPr>
          <w:rFonts w:ascii="Calibri" w:hAnsi="Calibri" w:asciiTheme="majorHAnsi" w:hAnsiTheme="majorHAnsi"/>
          <w:lang w:val="en-GB"/>
        </w:rPr>
        <w:t xml:space="preserve"> decreasing malaria morbidity and mortality in most endemic areas.  Despite this, important barriers to effective treatment and prevention still exist in endemic countries. Malaria is still one of the main morbidity and mortality causes in countries like Mozambique, one of poorest countries in the world. </w:t>
      </w:r>
      <w:ins w:id="27" w:author="Unknown Author" w:date="2018-04-12T10:22:00Z">
        <w:r>
          <w:rPr>
            <w:rFonts w:ascii="Calibri" w:hAnsi="Calibri" w:asciiTheme="majorHAnsi" w:hAnsiTheme="majorHAnsi"/>
            <w:lang w:val="en-GB"/>
          </w:rPr>
          <w:t>International aid assists in the</w:t>
        </w:r>
      </w:ins>
      <w:del w:id="28" w:author="Unknown Author" w:date="2018-04-12T10:22:00Z">
        <w:r>
          <w:rPr>
            <w:rFonts w:ascii="Calibri" w:hAnsi="Calibri" w:asciiTheme="majorHAnsi" w:hAnsiTheme="majorHAnsi"/>
            <w:lang w:val="en-GB"/>
          </w:rPr>
          <w:delText>The international community is helping the country with the</w:delText>
        </w:r>
      </w:del>
      <w:r>
        <w:rPr>
          <w:rFonts w:ascii="Calibri" w:hAnsi="Calibri" w:asciiTheme="majorHAnsi" w:hAnsiTheme="majorHAnsi"/>
          <w:lang w:val="en-GB"/>
        </w:rPr>
        <w:t xml:space="preserve"> provision of effective treatments, diagnostic and preventive tools</w:t>
      </w:r>
      <w:ins w:id="29" w:author="Unknown Author" w:date="2018-04-12T10:22:00Z">
        <w:r>
          <w:rPr>
            <w:rFonts w:ascii="Calibri" w:hAnsi="Calibri" w:asciiTheme="majorHAnsi" w:hAnsiTheme="majorHAnsi"/>
            <w:lang w:val="en-GB"/>
          </w:rPr>
          <w:t xml:space="preserve"> </w:t>
        </w:r>
      </w:ins>
      <w:ins w:id="30" w:author="Unknown Author" w:date="2018-04-12T10:22:00Z">
        <w:r>
          <w:rPr>
            <w:rFonts w:ascii="Calibri" w:hAnsi="Calibri" w:asciiTheme="majorHAnsi" w:hAnsiTheme="majorHAnsi"/>
            <w:lang w:val="en-GB"/>
          </w:rPr>
          <w:t>in Mozambique</w:t>
        </w:r>
      </w:ins>
      <w:ins w:id="31" w:author="Unknown Author" w:date="2018-04-12T10:23:00Z">
        <w:r>
          <w:rPr>
            <w:rFonts w:ascii="Calibri" w:hAnsi="Calibri" w:asciiTheme="majorHAnsi" w:hAnsiTheme="majorHAnsi"/>
            <w:lang w:val="en-GB"/>
          </w:rPr>
          <w:t>, which has decreased the burden,</w:t>
        </w:r>
      </w:ins>
      <w:del w:id="32" w:author="Unknown Author" w:date="2018-04-12T10:23:00Z">
        <w:r>
          <w:rPr>
            <w:rFonts w:ascii="Calibri" w:hAnsi="Calibri" w:asciiTheme="majorHAnsi" w:hAnsiTheme="majorHAnsi"/>
            <w:lang w:val="en-GB"/>
          </w:rPr>
          <w:delText>. This allowed decreasing the disease burden</w:delText>
        </w:r>
      </w:del>
      <w:r>
        <w:rPr>
          <w:rFonts w:ascii="Calibri" w:hAnsi="Calibri" w:asciiTheme="majorHAnsi" w:hAnsiTheme="majorHAnsi"/>
          <w:lang w:val="en-GB"/>
        </w:rPr>
        <w:t xml:space="preserve"> but the country still remains among the most severely affected by the disease.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Human papillomavirus (HPV) is the main cause of cervical cancer. Cervical cancer is the second most common cancer in the world: 266,000 women died in 2012, up to 90% of them in LMICs. The administration of an effective HPV vaccine is among the main preventive measures already implemented in high-income countries. However, its implementation in LMICs is limited due to the vaccine price and the delivery cost of its administration to the target population. Cervical cancer is the most common type of cancer affecting women in Mozambique. Only recently, efforts have been addressed to reduce the disease burden in the country by establishing a screening programme in 2009, consolidating a cancer registry at the Maputo Central Hospital, and evaluating the implementation of a programme of HPV vaccination to pre-adolescent girls by 2021.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Barriers to effective diagnosis, prevention and treatment of these diseases imply that the poorest individuals bear most of the infectious disease burden. The objective of this thesis is to illustrate those barriers and propose potential solutions for improving access to healthcare for VL, malaria and HPV in children </w:t>
      </w:r>
      <w:ins w:id="33" w:author="Unknown Author" w:date="2018-04-12T10:23:00Z">
        <w:r>
          <w:rPr>
            <w:rFonts w:ascii="Calibri" w:hAnsi="Calibri" w:asciiTheme="majorHAnsi" w:hAnsiTheme="majorHAnsi"/>
            <w:lang w:val="en-GB"/>
          </w:rPr>
          <w:commentReference w:id="2"/>
        </w:r>
      </w:ins>
      <w:del w:id="34" w:author="Unknown Author" w:date="2018-04-12T10:23:00Z">
        <w:r>
          <w:rPr>
            <w:rFonts w:ascii="Calibri" w:hAnsi="Calibri" w:asciiTheme="majorHAnsi" w:hAnsiTheme="majorHAnsi"/>
            <w:lang w:val="en-GB"/>
          </w:rPr>
          <w:delText xml:space="preserve">and girls </w:delText>
        </w:r>
      </w:del>
      <w:r>
        <w:rPr>
          <w:rFonts w:ascii="Calibri" w:hAnsi="Calibri" w:asciiTheme="majorHAnsi" w:hAnsiTheme="majorHAnsi"/>
          <w:lang w:val="en-GB"/>
        </w:rPr>
        <w:t>from Morocco and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Methods</w:t>
      </w:r>
    </w:p>
    <w:p>
      <w:pPr>
        <w:pStyle w:val="Normal"/>
        <w:spacing w:lineRule="auto" w:line="360"/>
        <w:rPr/>
      </w:pPr>
      <w:r>
        <w:rPr>
          <w:rFonts w:ascii="Calibri" w:hAnsi="Calibri" w:asciiTheme="majorHAnsi" w:hAnsiTheme="majorHAnsi"/>
          <w:lang w:val="en-GB"/>
        </w:rPr>
        <w:t xml:space="preserve">The studies included in this thesis were carried out by the Barcelona Institute for Global Health (ISGlobal) in Spain in collaboration with the Sidi Mohamed Ben Abdillah University in Fez (Morocco) and the Centro de Investigação em Saúde de Manhiça (CISM) in Mozambique. The thesis includes three articles published in peer-reviewed international journals and one manuscript currently under preparation. The first study, carried out in Morocco, estimated the provider cost associated with VL diagnosis and treatment by collecting clinical and cost data, complemented with information from an expert meeting. Data collected were later used to evaluate the cost-effectiveness of introducing alternative diagnostic and treatments (second study). The third study focused on malaria and described the market for artemether-lumefantrine (AL) in Manhiça (Mozambique) through a cross-sectional survey on willingness-to-pay for antimalarial medicines, and was complemented with clinical and demographic data routinely collected </w:t>
      </w:r>
      <w:ins w:id="35" w:author="Unknown Author" w:date="2018-04-12T10:24:00Z">
        <w:r>
          <w:rPr>
            <w:rFonts w:ascii="Calibri" w:hAnsi="Calibri" w:asciiTheme="majorHAnsi" w:hAnsiTheme="majorHAnsi"/>
            <w:lang w:val="en-GB"/>
          </w:rPr>
          <w:t>on-site.</w:t>
        </w:r>
      </w:ins>
      <w:del w:id="36" w:author="Unknown Author" w:date="2018-04-12T10:24:00Z">
        <w:r>
          <w:rPr>
            <w:rFonts w:ascii="Calibri" w:hAnsi="Calibri" w:asciiTheme="majorHAnsi" w:hAnsiTheme="majorHAnsi"/>
            <w:lang w:val="en-GB"/>
          </w:rPr>
          <w:delText>onsite.</w:delText>
        </w:r>
      </w:del>
      <w:r>
        <w:rPr>
          <w:rFonts w:ascii="Calibri" w:hAnsi="Calibri" w:asciiTheme="majorHAnsi" w:hAnsiTheme="majorHAnsi"/>
          <w:lang w:val="en-GB"/>
        </w:rPr>
        <w:t xml:space="preserve"> Finally, the fourth study used structured interviews with key informants to estimate the cost of the demonstration programme of HPV vaccination in Manhiça.</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Main results</w:t>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Paediatric VL care in Morocco: provider costs and technology scale-up</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median healthcare provider cost of a paediatric VL patient in Morocco was 520 US$, with hospitalisation costs representing half of the total cost. However, the cost significantly varied across patients finishing therapies as inpatients (636 US$) or as outpatients at primary health centres (307 US$), with the latter practice against national guidelines</w:t>
      </w:r>
      <w:ins w:id="37" w:author="Unknown Author" w:date="2018-04-12T10:24:00Z">
        <w:r>
          <w:rPr>
            <w:rFonts w:ascii="Calibri" w:hAnsi="Calibri" w:asciiTheme="majorHAnsi" w:hAnsiTheme="majorHAnsi"/>
            <w:lang w:val="en-GB"/>
          </w:rPr>
          <w:t>’</w:t>
        </w:r>
      </w:ins>
      <w:r>
        <w:rPr>
          <w:rFonts w:ascii="Calibri" w:hAnsi="Calibri" w:asciiTheme="majorHAnsi" w:hAnsiTheme="majorHAnsi"/>
          <w:lang w:val="en-GB"/>
        </w:rPr>
        <w:t xml:space="preserve"> recommendations.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introduction of a rapid diagnostic test (RDT) to diagnose and/or liposomal amphotericinin B (L-AmB) to treat VL patients in Morocco is a cost-effective alternative to current practices. Adoption of RDT at the hospital level was found to dominate bone marrow (BM) aspirates as a tool to diagnose VL, regardless of treatment regimen used. Similarly, short-course L-AmB regimen was found cost-effective compared to the current use of meglumine antimoniate (SB). The higher market price of L-AmB (165 US$/phial) was compensated by the increased efficacy and reduced hospitalisation costs associated with the short-course L-AmB regimen. Importantly, a price reduction of L-AmB to 100 US$/phial would also make cost-effective the introduction of a long-course L-AmB regimen, the current second line treatment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The market for antimalarial medicines in Manhiça district</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market for paediatric AL was studied in Manhiça district by estimating the local demand and supply of AL. Caregivers of participant children stated a mean ability-to-pay, defined as demand for AL, of 0.94 US$ to treat a paediatric malaria episode. At this demand value, there was a mean gap of 1.04 US$ compared to the mean local private supply of AL. The demand for AL was lower than the willingness-to-pay for insecticide-treated mosquito nets in the district (2.97 US$ per net).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study allowed identifying a set of socio-demographic determinants of the theoretical demand for AL. Ability to pay, defined as the demand, was negatively associated with the number of previous malaria episodes (demand elasticity of -14%). This implied that the demand decreased as the perception of malaria risk diminished when children recovered from previous episodes of the disease. It was also negatively associated with child age, household wealth, and residing in certain neighbour</w:t>
      </w:r>
      <w:ins w:id="38" w:author="Unknown Author" w:date="2018-04-12T10:25:00Z">
        <w:r>
          <w:rPr>
            <w:rFonts w:ascii="Calibri" w:hAnsi="Calibri" w:asciiTheme="majorHAnsi" w:hAnsiTheme="majorHAnsi"/>
            <w:lang w:val="en-GB"/>
          </w:rPr>
          <w:t>hood</w:t>
        </w:r>
      </w:ins>
      <w:r>
        <w:rPr>
          <w:rFonts w:ascii="Calibri" w:hAnsi="Calibri" w:asciiTheme="majorHAnsi" w:hAnsiTheme="majorHAnsi"/>
          <w:lang w:val="en-GB"/>
        </w:rPr>
        <w:t xml:space="preserve"> compared to</w:t>
      </w:r>
      <w:ins w:id="39" w:author="Unknown Author" w:date="2018-04-12T10:25:00Z">
        <w:r>
          <w:rPr>
            <w:rFonts w:ascii="Calibri" w:hAnsi="Calibri" w:asciiTheme="majorHAnsi" w:hAnsiTheme="majorHAnsi"/>
            <w:lang w:val="en-GB"/>
          </w:rPr>
          <w:t xml:space="preserve"> </w:t>
        </w:r>
      </w:ins>
      <w:ins w:id="40" w:author="Unknown Author" w:date="2018-04-12T10:25:00Z">
        <w:r>
          <w:rPr>
            <w:rFonts w:ascii="Calibri" w:hAnsi="Calibri" w:asciiTheme="majorHAnsi" w:hAnsiTheme="majorHAnsi"/>
            <w:lang w:val="en-GB"/>
          </w:rPr>
          <w:t>the town of</w:t>
        </w:r>
      </w:ins>
      <w:r>
        <w:rPr>
          <w:rFonts w:ascii="Calibri" w:hAnsi="Calibri" w:asciiTheme="majorHAnsi" w:hAnsiTheme="majorHAnsi"/>
          <w:lang w:val="en-GB"/>
        </w:rPr>
        <w:t xml:space="preserve"> Manhiça</w:t>
      </w:r>
      <w:del w:id="41" w:author="Unknown Author" w:date="2018-04-12T10:25:00Z">
        <w:r>
          <w:rPr>
            <w:rFonts w:ascii="Calibri" w:hAnsi="Calibri" w:asciiTheme="majorHAnsi" w:hAnsiTheme="majorHAnsi"/>
            <w:lang w:val="en-GB"/>
          </w:rPr>
          <w:delText xml:space="preserve"> town</w:delText>
        </w:r>
      </w:del>
      <w:r>
        <w:rPr>
          <w:rFonts w:ascii="Calibri" w:hAnsi="Calibri" w:asciiTheme="majorHAnsi" w:hAnsiTheme="majorHAnsi"/>
          <w:lang w:val="en-GB"/>
        </w:rPr>
        <w:t>; but positively associated with the household head working outside</w:t>
      </w:r>
      <w:ins w:id="42" w:author="Unknown Author" w:date="2018-04-12T10:25:00Z">
        <w:r>
          <w:rPr>
            <w:rFonts w:ascii="Calibri" w:hAnsi="Calibri" w:asciiTheme="majorHAnsi" w:hAnsiTheme="majorHAnsi"/>
            <w:lang w:val="en-GB"/>
          </w:rPr>
          <w:t xml:space="preserve"> </w:t>
        </w:r>
      </w:ins>
      <w:ins w:id="43" w:author="Unknown Author" w:date="2018-04-12T10:25:00Z">
        <w:r>
          <w:rPr>
            <w:rFonts w:ascii="Calibri" w:hAnsi="Calibri" w:asciiTheme="majorHAnsi" w:hAnsiTheme="majorHAnsi"/>
            <w:lang w:val="en-GB"/>
          </w:rPr>
          <w:t>of the</w:t>
        </w:r>
      </w:ins>
      <w:r>
        <w:rPr>
          <w:rFonts w:ascii="Calibri" w:hAnsi="Calibri" w:asciiTheme="majorHAnsi" w:hAnsiTheme="majorHAnsi"/>
          <w:lang w:val="en-GB"/>
        </w:rPr>
        <w:t xml:space="preserve"> agricultural sector and the willingness-to-pay for 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w:t>
      </w:r>
      <w:del w:id="44" w:author="Unknown Author" w:date="2018-04-12T10:25:00Z">
        <w:r>
          <w:rPr>
            <w:rFonts w:ascii="Calibri" w:hAnsi="Calibri" w:asciiTheme="majorHAnsi" w:hAnsiTheme="majorHAnsi"/>
            <w:lang w:val="en-GB"/>
          </w:rPr>
          <w:delText>unveiling</w:delText>
        </w:r>
      </w:del>
      <w:ins w:id="45" w:author="Unknown Author" w:date="2018-04-12T10:25:00Z">
        <w:r>
          <w:rPr>
            <w:rFonts w:ascii="Calibri" w:hAnsi="Calibri" w:asciiTheme="majorHAnsi" w:hAnsiTheme="majorHAnsi"/>
            <w:lang w:val="en-GB"/>
          </w:rPr>
          <w:t>showing</w:t>
        </w:r>
      </w:ins>
      <w:r>
        <w:rPr>
          <w:rFonts w:ascii="Calibri" w:hAnsi="Calibri" w:asciiTheme="majorHAnsi" w:hAnsiTheme="majorHAnsi"/>
          <w:lang w:val="en-GB"/>
        </w:rPr>
        <w:t xml:space="preserve"> that half the study sample could not afford to pay for the treatment at its market price. However, as estimated suppliers’ surplus was twice </w:t>
      </w:r>
      <w:del w:id="46" w:author="Unknown Author" w:date="2018-04-12T10:26:00Z">
        <w:r>
          <w:rPr>
            <w:rFonts w:ascii="Calibri" w:hAnsi="Calibri" w:asciiTheme="majorHAnsi" w:hAnsiTheme="majorHAnsi"/>
            <w:lang w:val="en-GB"/>
          </w:rPr>
          <w:delText>the</w:delText>
        </w:r>
      </w:del>
      <w:ins w:id="47" w:author="Unknown Author" w:date="2018-04-12T10:26:00Z">
        <w:r>
          <w:rPr>
            <w:rFonts w:ascii="Calibri" w:hAnsi="Calibri" w:asciiTheme="majorHAnsi" w:hAnsiTheme="majorHAnsi"/>
            <w:lang w:val="en-GB"/>
          </w:rPr>
          <w:t>that of</w:t>
        </w:r>
      </w:ins>
      <w:r>
        <w:rPr>
          <w:rFonts w:ascii="Calibri" w:hAnsi="Calibri" w:asciiTheme="majorHAnsi" w:hAnsiTheme="majorHAnsi"/>
          <w:lang w:val="en-GB"/>
        </w:rPr>
        <w:t xml:space="preserve"> consumers’, intervening </w:t>
      </w:r>
      <w:ins w:id="48" w:author="Unknown Author" w:date="2018-04-12T10:26:00Z">
        <w:r>
          <w:rPr>
            <w:rFonts w:ascii="Calibri" w:hAnsi="Calibri" w:asciiTheme="majorHAnsi" w:hAnsiTheme="majorHAnsi"/>
            <w:lang w:val="en-GB"/>
          </w:rPr>
          <w:t xml:space="preserve">in </w:t>
        </w:r>
      </w:ins>
      <w:r>
        <w:rPr>
          <w:rFonts w:ascii="Calibri" w:hAnsi="Calibri" w:asciiTheme="majorHAnsi" w:hAnsiTheme="majorHAnsi"/>
          <w:lang w:val="en-GB"/>
        </w:rPr>
        <w:t>the private market by reducing local private prices and strengthening the health systems to avoid stock-outs are alternative strategies to improve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Costs of a school-based demonstration programme of HPV vaccination to adolescent girls</w:t>
      </w:r>
    </w:p>
    <w:p>
      <w:pPr>
        <w:pStyle w:val="Normal"/>
        <w:spacing w:lineRule="auto" w:line="360"/>
        <w:rPr/>
      </w:pPr>
      <w:r>
        <w:rPr>
          <w:rFonts w:ascii="Calibri" w:hAnsi="Calibri" w:asciiTheme="majorHAnsi" w:hAnsiTheme="majorHAnsi"/>
          <w:lang w:val="en-GB"/>
        </w:rPr>
        <w:t>The average economic cost per dose for a demonstration HPV vaccination programme under a school-based approach in Manhiça district was 17.59 US$: 1.42 US$ were introduction, 15.64 US$ recurrent and 0.53 US$ were cold-chain costs. The programme fully immunised</w:t>
      </w:r>
      <w:del w:id="49" w:author="Unknown Author" w:date="2018-04-12T10:26:00Z">
        <w:r>
          <w:rPr>
            <w:rFonts w:ascii="Calibri" w:hAnsi="Calibri" w:asciiTheme="majorHAnsi" w:hAnsiTheme="majorHAnsi"/>
            <w:lang w:val="en-GB"/>
          </w:rPr>
          <w:delText xml:space="preserve"> the</w:delText>
        </w:r>
      </w:del>
      <w:r>
        <w:rPr>
          <w:rFonts w:ascii="Calibri" w:hAnsi="Calibri" w:asciiTheme="majorHAnsi" w:hAnsiTheme="majorHAnsi"/>
          <w:lang w:val="en-GB"/>
        </w:rPr>
        <w:t xml:space="preserve"> 77% of the total target population, which consisted of 10-year-old girls receiving three doses. The vast majority</w:t>
      </w:r>
      <w:ins w:id="50" w:author="Unknown Author" w:date="2018-04-12T10:26:00Z">
        <w:r>
          <w:rPr>
            <w:rFonts w:ascii="Calibri" w:hAnsi="Calibri" w:asciiTheme="majorHAnsi" w:hAnsiTheme="majorHAnsi"/>
            <w:lang w:val="en-GB"/>
          </w:rPr>
          <w:t xml:space="preserve"> </w:t>
        </w:r>
      </w:ins>
      <w:del w:id="51" w:author="Unknown Author" w:date="2018-04-12T10:26:00Z">
        <w:r>
          <w:rPr>
            <w:rFonts w:ascii="Calibri" w:hAnsi="Calibri" w:asciiTheme="majorHAnsi" w:hAnsiTheme="majorHAnsi"/>
            <w:lang w:val="en-GB"/>
          </w:rPr>
          <w:delText xml:space="preserve"> of them </w:delText>
        </w:r>
      </w:del>
      <w:r>
        <w:rPr>
          <w:rFonts w:ascii="Calibri" w:hAnsi="Calibri" w:asciiTheme="majorHAnsi" w:hAnsiTheme="majorHAnsi"/>
          <w:lang w:val="en-GB"/>
        </w:rPr>
        <w:t xml:space="preserve">were vaccinated at one of the district’s primary schools, and only two girls received vaccination at a health facility. The estimated average cost per dose was lower than the mean reported from other programmes, but the financial cost per fully immunised girl (17.95 US$) was higher. This was due to the need </w:t>
      </w:r>
      <w:del w:id="52" w:author="Unknown Author" w:date="2018-04-12T10:27:00Z">
        <w:r>
          <w:rPr>
            <w:rFonts w:ascii="Calibri" w:hAnsi="Calibri" w:asciiTheme="majorHAnsi" w:hAnsiTheme="majorHAnsi"/>
            <w:lang w:val="en-GB"/>
          </w:rPr>
          <w:delText>of</w:delText>
        </w:r>
      </w:del>
      <w:ins w:id="53" w:author="Unknown Author" w:date="2018-04-12T10:27:00Z">
        <w:r>
          <w:rPr>
            <w:rFonts w:ascii="Calibri" w:hAnsi="Calibri" w:asciiTheme="majorHAnsi" w:hAnsiTheme="majorHAnsi"/>
            <w:lang w:val="en-GB"/>
          </w:rPr>
          <w:t>to</w:t>
        </w:r>
      </w:ins>
      <w:r>
        <w:rPr>
          <w:rFonts w:ascii="Calibri" w:hAnsi="Calibri" w:asciiTheme="majorHAnsi" w:hAnsiTheme="majorHAnsi"/>
          <w:lang w:val="en-GB"/>
        </w:rPr>
        <w:t xml:space="preserve"> reach</w:t>
      </w:r>
      <w:del w:id="54" w:author="Unknown Author" w:date="2018-04-12T10:27:00Z">
        <w:r>
          <w:rPr>
            <w:rFonts w:ascii="Calibri" w:hAnsi="Calibri" w:asciiTheme="majorHAnsi" w:hAnsiTheme="majorHAnsi"/>
            <w:lang w:val="en-GB"/>
          </w:rPr>
          <w:delText>ing</w:delText>
        </w:r>
      </w:del>
      <w:r>
        <w:rPr>
          <w:rFonts w:ascii="Calibri" w:hAnsi="Calibri" w:asciiTheme="majorHAnsi" w:hAnsiTheme="majorHAnsi"/>
          <w:lang w:val="en-GB"/>
        </w:rPr>
        <w:t xml:space="preserve"> girls at their houses as most of the non-immunised girls were absent or out-of-schools, but also due to certain district characteristics, such as the moderate population density</w:t>
      </w:r>
      <w:ins w:id="55" w:author="Unknown Author" w:date="2018-04-12T10:27:00Z">
        <w:r>
          <w:rPr>
            <w:rFonts w:ascii="Calibri" w:hAnsi="Calibri" w:asciiTheme="majorHAnsi" w:hAnsiTheme="majorHAnsi"/>
            <w:lang w:val="en-GB"/>
          </w:rPr>
          <w:t xml:space="preserve"> </w:t>
        </w:r>
      </w:ins>
      <w:ins w:id="56" w:author="Unknown Author" w:date="2018-04-12T10:27:00Z">
        <w:r>
          <w:rPr>
            <w:rFonts w:ascii="Calibri" w:hAnsi="Calibri" w:asciiTheme="majorHAnsi" w:hAnsiTheme="majorHAnsi"/>
            <w:lang w:val="en-GB"/>
          </w:rPr>
          <w:t>and</w:t>
        </w:r>
      </w:ins>
      <w:del w:id="57" w:author="Unknown Author" w:date="2018-04-12T10:27:00Z">
        <w:r>
          <w:rPr>
            <w:rFonts w:ascii="Calibri" w:hAnsi="Calibri" w:asciiTheme="majorHAnsi" w:hAnsiTheme="majorHAnsi"/>
            <w:lang w:val="en-GB"/>
          </w:rPr>
          <w:delText>, or the</w:delText>
        </w:r>
      </w:del>
      <w:r>
        <w:rPr>
          <w:rFonts w:ascii="Calibri" w:hAnsi="Calibri" w:asciiTheme="majorHAnsi" w:hAnsiTheme="majorHAnsi"/>
          <w:lang w:val="en-GB"/>
        </w:rPr>
        <w:t xml:space="preserve"> reduced number of health facilities</w:t>
      </w:r>
      <w:ins w:id="58" w:author="Unknown Author" w:date="2018-04-12T10:27:00Z">
        <w:r>
          <w:rPr>
            <w:rFonts w:ascii="Calibri" w:hAnsi="Calibri" w:asciiTheme="majorHAnsi" w:hAnsiTheme="majorHAnsi"/>
            <w:lang w:val="en-GB"/>
          </w:rPr>
          <w:t xml:space="preserve">, </w:t>
        </w:r>
      </w:ins>
      <w:ins w:id="59" w:author="Unknown Author" w:date="2018-04-12T10:27:00Z">
        <w:r>
          <w:rPr>
            <w:rFonts w:ascii="Calibri" w:hAnsi="Calibri" w:asciiTheme="majorHAnsi" w:hAnsiTheme="majorHAnsi"/>
            <w:lang w:val="en-GB"/>
          </w:rPr>
          <w:t>as well as</w:t>
        </w:r>
      </w:ins>
      <w:del w:id="60" w:author="Unknown Author" w:date="2018-04-12T10:27:00Z">
        <w:r>
          <w:rPr>
            <w:rFonts w:ascii="Calibri" w:hAnsi="Calibri" w:asciiTheme="majorHAnsi" w:hAnsiTheme="majorHAnsi"/>
            <w:lang w:val="en-GB"/>
          </w:rPr>
          <w:delText xml:space="preserve"> and</w:delText>
        </w:r>
      </w:del>
      <w:r>
        <w:rPr>
          <w:rFonts w:ascii="Calibri" w:hAnsi="Calibri" w:asciiTheme="majorHAnsi" w:hAnsiTheme="majorHAnsi"/>
          <w:lang w:val="en-GB"/>
        </w:rPr>
        <w:t xml:space="preserve"> the</w:t>
      </w:r>
      <w:del w:id="61" w:author="Unknown Author" w:date="2018-04-12T10:27:00Z">
        <w:r>
          <w:rPr>
            <w:rFonts w:ascii="Calibri" w:hAnsi="Calibri" w:asciiTheme="majorHAnsi" w:hAnsiTheme="majorHAnsi"/>
            <w:lang w:val="en-GB"/>
          </w:rPr>
          <w:delText>ir large</w:delText>
        </w:r>
      </w:del>
      <w:r>
        <w:rPr>
          <w:rFonts w:ascii="Calibri" w:hAnsi="Calibri" w:asciiTheme="majorHAnsi" w:hAnsiTheme="majorHAnsi"/>
          <w:lang w:val="en-GB"/>
        </w:rPr>
        <w:t xml:space="preserve"> distance to schools.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Conclusions and recommendations</w:t>
      </w:r>
    </w:p>
    <w:p>
      <w:pPr>
        <w:pStyle w:val="Normal"/>
        <w:spacing w:lineRule="auto" w:line="360"/>
        <w:rPr/>
      </w:pPr>
      <w:r>
        <w:rPr>
          <w:rFonts w:ascii="Calibri" w:hAnsi="Calibri" w:asciiTheme="majorHAnsi" w:hAnsiTheme="majorHAnsi"/>
          <w:lang w:val="en-GB"/>
        </w:rPr>
        <w:t>VL care is freely covered by the national health insurance</w:t>
      </w:r>
      <w:ins w:id="62" w:author="Unknown Author" w:date="2018-04-12T10:28:00Z">
        <w:r>
          <w:rPr>
            <w:rFonts w:ascii="Calibri" w:hAnsi="Calibri" w:asciiTheme="majorHAnsi" w:hAnsiTheme="majorHAnsi"/>
            <w:lang w:val="en-GB"/>
          </w:rPr>
          <w:t xml:space="preserve"> </w:t>
        </w:r>
      </w:ins>
      <w:ins w:id="63" w:author="Unknown Author" w:date="2018-04-12T10:28:00Z">
        <w:r>
          <w:rPr>
            <w:rFonts w:ascii="Calibri" w:hAnsi="Calibri" w:asciiTheme="majorHAnsi" w:hAnsiTheme="majorHAnsi"/>
            <w:lang w:val="en-GB"/>
          </w:rPr>
          <w:t>programme</w:t>
        </w:r>
      </w:ins>
      <w:r>
        <w:rPr>
          <w:rFonts w:ascii="Calibri" w:hAnsi="Calibri" w:asciiTheme="majorHAnsi" w:hAnsiTheme="majorHAnsi"/>
          <w:lang w:val="en-GB"/>
        </w:rPr>
        <w:t xml:space="preserve"> in Morocco, but public health facilities still use invasive and low-effective tools for its diagnosis and treatment. The study </w:t>
      </w:r>
      <w:del w:id="64" w:author="Unknown Author" w:date="2018-04-12T10:28:00Z">
        <w:r>
          <w:rPr>
            <w:rFonts w:ascii="Calibri" w:hAnsi="Calibri" w:asciiTheme="majorHAnsi" w:hAnsiTheme="majorHAnsi"/>
            <w:lang w:val="en-GB"/>
          </w:rPr>
          <w:delText xml:space="preserve">findings </w:delText>
        </w:r>
      </w:del>
      <w:r>
        <w:rPr>
          <w:rFonts w:ascii="Calibri" w:hAnsi="Calibri" w:asciiTheme="majorHAnsi" w:hAnsiTheme="majorHAnsi"/>
          <w:lang w:val="en-GB"/>
        </w:rPr>
        <w:t xml:space="preserve">concluded that the adoption of RDT and short-course L-AmB regimens were cost-effective strategies in comparison with current practices. Therefore, such strategies should be implemented to improve VL management in Morocco and, possibly, </w:t>
      </w:r>
      <w:ins w:id="65" w:author="Unknown Author" w:date="2018-04-12T10:28:00Z">
        <w:r>
          <w:rPr>
            <w:rFonts w:ascii="Calibri" w:hAnsi="Calibri" w:asciiTheme="majorHAnsi" w:hAnsiTheme="majorHAnsi"/>
            <w:lang w:val="en-GB"/>
          </w:rPr>
          <w:t xml:space="preserve">in </w:t>
        </w:r>
      </w:ins>
      <w:del w:id="66" w:author="Unknown Author" w:date="2018-04-12T10:28:00Z">
        <w:r>
          <w:rPr>
            <w:rFonts w:ascii="Calibri" w:hAnsi="Calibri" w:asciiTheme="majorHAnsi" w:hAnsiTheme="majorHAnsi"/>
            <w:lang w:val="en-GB"/>
          </w:rPr>
          <w:delText xml:space="preserve">to </w:delText>
        </w:r>
      </w:del>
      <w:r>
        <w:rPr>
          <w:rFonts w:ascii="Calibri" w:hAnsi="Calibri" w:asciiTheme="majorHAnsi" w:hAnsiTheme="majorHAnsi"/>
          <w:lang w:val="en-GB"/>
        </w:rPr>
        <w:t>other North African countries facing similar challenges. Coordinating and negotiating a reduction of L-AmB price for MICs may ensure the adoption of long-course L-AmB regimen in those countries.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Most caregivers seeking paediatric malaria care at public health facilities in Manhiça stated lower ability-to-pay for antimalarial medicines than the mean local private price. The estimated demand for AL was fairly elastic, reflecting high responsiveness to recent disease episodes. This </w:t>
      </w:r>
      <w:del w:id="67" w:author="Unknown Author" w:date="2018-04-12T10:29:00Z">
        <w:r>
          <w:rPr>
            <w:rFonts w:ascii="Calibri" w:hAnsi="Calibri" w:asciiTheme="majorHAnsi" w:hAnsiTheme="majorHAnsi"/>
            <w:lang w:val="en-GB"/>
          </w:rPr>
          <w:delText>unveiled</w:delText>
        </w:r>
      </w:del>
      <w:ins w:id="68" w:author="Unknown Author" w:date="2018-04-12T10:29:00Z">
        <w:r>
          <w:rPr>
            <w:rFonts w:ascii="Calibri" w:hAnsi="Calibri" w:asciiTheme="majorHAnsi" w:hAnsiTheme="majorHAnsi"/>
            <w:lang w:val="en-GB"/>
          </w:rPr>
          <w:t>suggested</w:t>
        </w:r>
      </w:ins>
      <w:r>
        <w:rPr>
          <w:rFonts w:ascii="Calibri" w:hAnsi="Calibri" w:asciiTheme="majorHAnsi" w:hAnsiTheme="majorHAnsi"/>
          <w:lang w:val="en-GB"/>
        </w:rPr>
        <w:t xml:space="preserve"> a limit</w:t>
      </w:r>
      <w:ins w:id="69" w:author="Unknown Author" w:date="2018-04-12T10:29:00Z">
        <w:r>
          <w:rPr>
            <w:rFonts w:ascii="Calibri" w:hAnsi="Calibri" w:asciiTheme="majorHAnsi" w:hAnsiTheme="majorHAnsi"/>
            <w:lang w:val="en-GB"/>
          </w:rPr>
          <w:t>ed</w:t>
        </w:r>
      </w:ins>
      <w:del w:id="70" w:author="Unknown Author" w:date="2018-04-12T10:29:00Z">
        <w:r>
          <w:rPr>
            <w:rFonts w:ascii="Calibri" w:hAnsi="Calibri" w:asciiTheme="majorHAnsi" w:hAnsiTheme="majorHAnsi"/>
            <w:lang w:val="en-GB"/>
          </w:rPr>
          <w:delText>ing</w:delText>
        </w:r>
      </w:del>
      <w:r>
        <w:rPr>
          <w:rFonts w:ascii="Calibri" w:hAnsi="Calibri" w:asciiTheme="majorHAnsi" w:hAnsiTheme="majorHAnsi"/>
          <w:lang w:val="en-GB"/>
        </w:rPr>
        <w:t xml:space="preserve"> access to treatment in the district, which may lead to catastrophic payments in the presence of drug stock-outs in the public sector. To avoid this situation, reducing AL private price or increasing competition may be useful strategies to achieve universal access to antimalarial medicines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The average cost per dose for the HPV vaccine demonstration programme (</w:t>
      </w:r>
      <w:del w:id="71" w:author="Unknown Author" w:date="2018-04-12T10:29:00Z">
        <w:r>
          <w:rPr>
            <w:rFonts w:ascii="Calibri" w:hAnsi="Calibri" w:asciiTheme="majorHAnsi" w:hAnsiTheme="majorHAnsi"/>
            <w:lang w:val="en-GB"/>
          </w:rPr>
          <w:delText xml:space="preserve">year </w:delText>
        </w:r>
      </w:del>
      <w:r>
        <w:rPr>
          <w:rFonts w:ascii="Calibri" w:hAnsi="Calibri" w:asciiTheme="majorHAnsi" w:hAnsiTheme="majorHAnsi"/>
          <w:lang w:val="en-GB"/>
        </w:rPr>
        <w:t xml:space="preserve">2014) in Manhiça was lower than the mean estimation reported for other similar demonstration programmes in LMICs; but </w:t>
      </w:r>
      <w:ins w:id="72" w:author="Unknown Author" w:date="2018-04-12T10:29:00Z">
        <w:r>
          <w:rPr>
            <w:rFonts w:ascii="Calibri" w:hAnsi="Calibri" w:asciiTheme="majorHAnsi" w:hAnsiTheme="majorHAnsi"/>
            <w:lang w:val="en-GB"/>
          </w:rPr>
          <w:t xml:space="preserve">the </w:t>
        </w:r>
      </w:ins>
      <w:del w:id="73" w:author="Unknown Author" w:date="2018-04-12T10:29:00Z">
        <w:r>
          <w:rPr>
            <w:rFonts w:ascii="Calibri" w:hAnsi="Calibri" w:asciiTheme="majorHAnsi" w:hAnsiTheme="majorHAnsi"/>
            <w:lang w:val="en-GB"/>
          </w:rPr>
          <w:delText xml:space="preserve">higher was the </w:delText>
        </w:r>
      </w:del>
      <w:r>
        <w:rPr>
          <w:rFonts w:ascii="Calibri" w:hAnsi="Calibri" w:asciiTheme="majorHAnsi" w:hAnsiTheme="majorHAnsi"/>
          <w:lang w:val="en-GB"/>
        </w:rPr>
        <w:t>cost per fully immunised girl</w:t>
      </w:r>
      <w:ins w:id="74" w:author="Unknown Author" w:date="2018-04-12T10:29:00Z">
        <w:r>
          <w:rPr>
            <w:rFonts w:ascii="Calibri" w:hAnsi="Calibri" w:asciiTheme="majorHAnsi" w:hAnsiTheme="majorHAnsi"/>
            <w:lang w:val="en-GB"/>
          </w:rPr>
          <w:t xml:space="preserve"> </w:t>
        </w:r>
      </w:ins>
      <w:ins w:id="75" w:author="Unknown Author" w:date="2018-04-12T10:29:00Z">
        <w:r>
          <w:rPr>
            <w:rFonts w:ascii="Calibri" w:hAnsi="Calibri" w:asciiTheme="majorHAnsi" w:hAnsiTheme="majorHAnsi"/>
            <w:lang w:val="en-GB"/>
          </w:rPr>
          <w:t>was higher</w:t>
        </w:r>
      </w:ins>
      <w:r>
        <w:rPr>
          <w:rFonts w:ascii="Calibri" w:hAnsi="Calibri" w:asciiTheme="majorHAnsi" w:hAnsiTheme="majorHAnsi"/>
          <w:lang w:val="en-GB"/>
        </w:rPr>
        <w:t xml:space="preserve">. A more efficient use of </w:t>
      </w:r>
      <w:del w:id="76" w:author="Unknown Author" w:date="2018-04-12T10:29:00Z">
        <w:r>
          <w:rPr>
            <w:rFonts w:ascii="Calibri" w:hAnsi="Calibri" w:asciiTheme="majorHAnsi" w:hAnsiTheme="majorHAnsi"/>
            <w:lang w:val="en-GB"/>
          </w:rPr>
          <w:delText xml:space="preserve">the </w:delText>
        </w:r>
      </w:del>
      <w:r>
        <w:rPr>
          <w:rFonts w:ascii="Calibri" w:hAnsi="Calibri" w:asciiTheme="majorHAnsi" w:hAnsiTheme="majorHAnsi"/>
          <w:lang w:val="en-GB"/>
        </w:rPr>
        <w:t>resources and an active community outreach search of out-of-school girls may increase the programme coverage and reduce the financial cost per fully immunised girl.</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asciiTheme="majorHAnsi" w:hAnsiTheme="majorHAnsi"/>
          <w:b/>
          <w:b/>
          <w:sz w:val="28"/>
          <w:szCs w:val="28"/>
          <w:lang w:val="en-GB"/>
        </w:rPr>
      </w:pPr>
      <w:r>
        <w:rPr>
          <w:rFonts w:asciiTheme="majorHAnsi" w:hAnsiTheme="majorHAnsi" w:ascii="Calibri" w:hAnsi="Calibri"/>
          <w:b/>
          <w:sz w:val="28"/>
          <w:szCs w:val="28"/>
          <w:lang w:val="en-GB"/>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rFonts w:ascii="Calibri" w:hAnsi="Calibri" w:asciiTheme="majorHAnsi" w:hAnsiTheme="majorHAnsi"/>
          <w:lang w:val="en-US"/>
        </w:rPr>
      </w:pPr>
      <w:bookmarkStart w:id="2" w:name="_Toc382138180"/>
      <w:bookmarkEnd w:id="2"/>
      <w:r>
        <w:rPr>
          <w:rFonts w:ascii="Calibri" w:hAnsi="Calibri" w:asciiTheme="majorHAnsi" w:hAnsiTheme="majorHAnsi"/>
          <w:lang w:val="en-US"/>
        </w:rPr>
        <w:t>Resume</w:t>
      </w:r>
      <w:ins w:id="77" w:author="Unknown Author" w:date="2018-04-12T10:30:00Z">
        <w:r>
          <w:rPr>
            <w:rFonts w:ascii="Calibri" w:hAnsi="Calibri" w:asciiTheme="majorHAnsi" w:hAnsiTheme="majorHAnsi"/>
            <w:lang w:val="en-US"/>
          </w:rPr>
          <w:commentReference w:id="3"/>
        </w:r>
      </w:ins>
      <w:r>
        <w:rPr>
          <w:rFonts w:ascii="Calibri" w:hAnsi="Calibri" w:asciiTheme="majorHAnsi" w:hAnsiTheme="majorHAnsi"/>
          <w:lang w:val="en-US"/>
        </w:rPr>
        <w:t>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Contexto</w:t>
      </w:r>
    </w:p>
    <w:p>
      <w:pPr>
        <w:pStyle w:val="Normal"/>
        <w:spacing w:lineRule="auto" w:line="360"/>
        <w:rPr>
          <w:rFonts w:ascii="Calibri" w:hAnsi="Calibri" w:asciiTheme="majorHAnsi" w:hAnsiTheme="majorHAnsi"/>
        </w:rPr>
      </w:pPr>
      <w:r>
        <w:rPr>
          <w:rFonts w:ascii="Calibri" w:hAnsi="Calibri" w:asciiTheme="majorHAnsi" w:hAnsiTheme="majorHAnsi"/>
        </w:rPr>
        <w:t>Los países de ingresos bajos y medianos (PIBM), en particular la mayoría de países de África subsahariana, aún soportan la mayor parte de la carga mundial de enfermedades infecciosas. En estos países, la carga de morbilidad y mortalidad de estas enfermedades recae principalmente en las personas más pobres como consecuencia del limitado acceso a un saneamiento adecuado y a una asistencia sanitaria de calidad, los elevados riesgos económicos y financieros en los que incurren, así como el desempleo sin protección o el trabajo informal mal remunerado. Los países de ingresos medianos están reduciendo significativamente la carga de enfermedades infecciosas; pero todavía afrontan una gran carga de enfermedades tropicales desatendidas (NTD por sus siglas en inglés), las cuáles están estrechamente asociadas a la pobreza.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Durante las últimas décadas, la ayuda financiera internacional para el apoyo a programas de salud en PIBM, ha dado lugar a avances sustanciales en la lucha contra enfermedades infecciosas que se ha traducido en un aumento del acceso a los programas de prevención y el tratamiento. A pesar de los logros conseguidos, persisten dos desafíos de la salud global: desarrollar nuevas herramientas efectivas y que éstas estén al alcance de toda la población. Durante las últimas décadas, varias iniciativas han fomentado el desarrollo de nuevas vacunas, nuevos medicamentos y nuevas herramientas de diagnóstico para los PIBM. Sin embargo, la investigación y el desarrollo son un desafío constante dada la aparición de resistencias a medicamentos, a la vez que persisten varios sectores de la población sin el acceso adecuado a la asistencia sanitaria.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El reto de llegar con nuevas tecnologías a comunidades rurales remotas se ve agravado por el hecho de que el acceso a la asistencia médica en los PIBM es </w:t>
      </w:r>
      <w:r>
        <w:rPr>
          <w:rFonts w:ascii="Calibri" w:hAnsi="Calibri" w:asciiTheme="majorHAnsi" w:hAnsiTheme="majorHAnsi"/>
          <w:i/>
        </w:rPr>
        <w:t>per se</w:t>
      </w:r>
      <w:r>
        <w:rPr>
          <w:rFonts w:ascii="Calibri" w:hAnsi="Calibri" w:asciiTheme="majorHAnsi" w:hAnsiTheme="majorHAnsi"/>
        </w:rPr>
        <w:t xml:space="preserve"> restringido, es decir, es incluso limitado para las tecnologías antiguas. Los desafíos, por el lado de la oferta, incluyen un suministro limitado de productos sanitarios que conducen al desabastecimiento de medicamentos, vacunas o pruebas diagnósticas, así como una baja calidad de asistencia médica. Por el lado de la demanda, los desafíos principales consisten en el acceso limitado para los habitantes de las comunidades rurales remotas, la ausencia de información adecuada sobre las enfermedades infecciosas, así como escasos recursos financieros.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Este trabajo se centra en determinadas enfermedades infecciosas (leishmaniosis visceral, malaria y virus del papiloma humano) presentes en dos países del continente africano, uno clasificado como de ingresos medianos (Marruecos) y otro de ingresos bajos (Mozambique). Ambos países tienen sus propias características culturales y socioeconómicas, así como sistemas sanitarios diferentes, a la vez que se encuentran en distintas etapas de transición epidemiológica de enfermedades infecciosas a enfermedades no transmisibles. Sin embargo, los dos países afrontan desafíos similares en la gestión de enfermedades infecciosas; en particular, éstas siguen estando muy concentradas entre los ciudadanos más pobres y vulnerables de ambos países.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leishmaniosis visceral (LV) es una NTD potencialmente mortal, con una incidencia anual estimada de hasta 389,100 casos en todo el mundo (año 2010). El tratamiento más efectivo es altamente costoso y su adquisición a un precio reducido sólo se aplica a los países de ingresos bajos, excluyendo a países de ingresos medianos como es el caso de Marruecos. En la actualidad, Marruecos se enfrenta a una alta carga de enfermedades no transmisibles, como la diabetes, pero también a otras NTDs, como la tricuriasis, la ascariasis o la leishmaniosis cutánea y visceral. Sin embargo, la introducción de nuevas tecnologías para la LV, como el test de diagnóstico rápido (TDR), no es una prioridad para el Ministerio de Salud marroquí, a pesar de ser económico, poco invasivo y altamente sensible.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malaria es una enfermedad parasitaria transmitida por mosquitos. En 2015, la carga mundial estimada de malaria fue de 212 millones de casos y 429,000 muertes, la mayoría de las cuales ocurrieron en África subsahariana. Los tratamientos efectivos y las medidas preventivas para controlar la enfermedad, tales como las redes mosquiteras o el uso de insecticidas, permitieron disminuir la morbilidad y la mortalidad de la malaria globalmente. A pesar de los esfuerzos, todavía existen importantes barreras de acceso al tratamiento y de uso de herramientas de prevención efectivas. En consecuencia, en países endémicos como Mozambique, la malaria sigue siendo una de las principales causas de morbilidad y mortalidad. La comunidad internacional está asistiendo al país con el suministro gratuito de tratamientos efectivos y herramientas diagnósticas y preventivas. Esto ha permitido disminuir la carga de morbilidad, pero el país sigue siendo uno de los más gravemente afectados por la enfermedad.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virus del papiloma humano (VPH) es la causa principal de cáncer de cuello uterino. Este tipo de cáncer es el segundo más común en el mundo: 266,000 mujeres murieron en 2012, con el 90% de los casos concentrados en los países de ingresos bajos. La administración de una vacuna efectiva contra el VPH se encuentra entre las principales medidas preventivas vigentes en países de ingresos altos. Sin embargo, su implementación en PIBM es limitada debido al precio de la vacuna y al coste de la administración de la misma entre la población objetivo. El cáncer de cuello uterino es también el tipo de cáncer más común entre las mujeres en Mozambique. Sólo recientemente se han implementado medidas para reducir la carga de morbilidad en el país, estableciendo un programa de cribado en 2009, consolidando un registro de cáncer en el Hospital Central de Maputo y estudiando la implementación de un programa de vacunación contra el VPH en niñas preadolescentes para el 2021.</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Las principales consecuencias para las barreras existentes en el diagnóstico, prevención y tratamiento eficaces de estas enfermedades acaban recayendo en las personas más pobres. El objetivo de esta tesis consiste en ilustrar las principales barreras y proponer posibles soluciones para mejorar el acceso a la asistencia médica para la LV, la malaria y el VPH en niños y niñas de Marruecos y Mozambique.</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Métodos</w:t>
      </w:r>
    </w:p>
    <w:p>
      <w:pPr>
        <w:pStyle w:val="Normal"/>
        <w:spacing w:lineRule="auto" w:line="360"/>
        <w:rPr>
          <w:rFonts w:ascii="Calibri" w:hAnsi="Calibri" w:asciiTheme="majorHAnsi" w:hAnsiTheme="majorHAnsi"/>
        </w:rPr>
      </w:pPr>
      <w:r>
        <w:rPr>
          <w:rFonts w:ascii="Calibri" w:hAnsi="Calibri" w:asciiTheme="majorHAnsi" w:hAnsiTheme="majorHAnsi"/>
        </w:rPr>
        <w:t xml:space="preserve">Los estudios incluidos en esta tesis fueron realizados por el Instituto de Salud Global de Barcelona (ISGlobal) en España, en colaboración con la Universidad Sidi Mohamed Ben Abdillah en Fez (Marruecos) y el </w:t>
      </w:r>
      <w:r>
        <w:rPr>
          <w:rFonts w:ascii="Calibri" w:hAnsi="Calibri" w:asciiTheme="majorHAnsi" w:hAnsiTheme="majorHAnsi"/>
          <w:i/>
        </w:rPr>
        <w:t xml:space="preserve">Centro de Investigação em Saúde de Manhiça </w:t>
      </w:r>
      <w:r>
        <w:rPr>
          <w:rFonts w:ascii="Calibri" w:hAnsi="Calibri" w:asciiTheme="majorHAnsi" w:hAnsiTheme="majorHAnsi"/>
        </w:rPr>
        <w:t xml:space="preserve">(CISM) en Mozambique. La tesis incluye tres artículos publicados en revistas internacionales de revisión por pares y un manuscrito actualmente en preparación. El primer estudio, llevado a cabo en Marruecos, estima el coste asociado al diagnóstico y tratamiento de la LV para el sistema de salud a través de datos clínicos y costes asistenciales, siendo complementados con información de un comité de expertos. Los datos recolectados fueron usados posteriormente para evaluar la relación de coste-efectividad de la introducción de diagnósticos y tratamientos alternativos (segundo estudio). El tercer estudio describe el mercado de artemeter-lumefantrina (AL) en Manhiça (Mozambique) a través de una encuesta transversal sobre la disposición a pagar por medicamentos antimaláricos, y se complementa con datos clínicos y demográficos recogidos rutinariamente </w:t>
      </w:r>
      <w:r>
        <w:rPr>
          <w:rFonts w:ascii="Calibri" w:hAnsi="Calibri" w:asciiTheme="majorHAnsi" w:hAnsiTheme="majorHAnsi"/>
          <w:i/>
        </w:rPr>
        <w:t>in situ</w:t>
      </w:r>
      <w:r>
        <w:rPr>
          <w:rFonts w:ascii="Calibri" w:hAnsi="Calibri" w:asciiTheme="majorHAnsi" w:hAnsiTheme="majorHAnsi"/>
        </w:rPr>
        <w:t>. Finalmente, el cuarto estudio utiliza entrevistas estructuradas con informantes clave para estimar el coste del programa piloto de vacunación contra el VPH en Manhiça.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Principales resultados</w:t>
      </w:r>
    </w:p>
    <w:p>
      <w:pPr>
        <w:pStyle w:val="Normal"/>
        <w:spacing w:lineRule="auto" w:line="360"/>
        <w:rPr>
          <w:rFonts w:ascii="Calibri" w:hAnsi="Calibri" w:asciiTheme="majorHAnsi" w:hAnsiTheme="majorHAnsi"/>
          <w:b/>
          <w:b/>
          <w:i/>
          <w:i/>
        </w:rPr>
      </w:pPr>
      <w:r>
        <w:rPr>
          <w:rFonts w:ascii="Calibri" w:hAnsi="Calibri" w:asciiTheme="majorHAnsi" w:hAnsiTheme="majorHAnsi"/>
          <w:b/>
          <w:i/>
        </w:rPr>
        <w:t>Asistencia pediátrica de VL en Marruecos: costes del sistema de salud y ampliación tecnológica</w:t>
      </w:r>
    </w:p>
    <w:p>
      <w:pPr>
        <w:pStyle w:val="Normal"/>
        <w:spacing w:lineRule="auto" w:line="360"/>
        <w:rPr>
          <w:rFonts w:ascii="Calibri" w:hAnsi="Calibri" w:asciiTheme="majorHAnsi" w:hAnsiTheme="majorHAnsi"/>
        </w:rPr>
      </w:pPr>
      <w:r>
        <w:rPr>
          <w:rFonts w:ascii="Calibri" w:hAnsi="Calibri" w:asciiTheme="majorHAnsi" w:hAnsiTheme="majorHAnsi"/>
        </w:rPr>
        <w:t>El coste mediano del sistema de salud para un paciente de LV pediátrica en Marruecos fue de 520 US$ en 2014, cuyos costes de hospitalización representaron la mitad del coste total. Sin embargo, se ha encontrado una variación significativa entre los pacientes que finalizaron la terapia durante la hospitalización (636 US$) y los que fueron pacientes ambulatorios en los centros de atención primaria (307 US$), siendo esta última práctica contraria a las recomendaciones de las guías nacionales.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introducción de un TDR para el diagnóstico y/o de la anfotericina B liposomal (L-AmB) para el tratamiento de pacientes con LV en Marruecos es una alternativa rentable comparada con las prácticas actuales. La adopción de TDRs a nivel hospitalario ha dominado al examen de médula ósea (BM por sus siglas en inglés) como herramienta para diagnosticar la LV, independientemente del régimen de tratamiento utilizado. De manera similar, el régimen de L-AmB de corta duración es un tratamiento rentable en comparación con el uso actual de antimoniato de meglumina (SB), ya que compensa su precio de mercado más alto (165 US$/vial) con una mayor eficacia y una reducción en los costes de hospitalización. Es importante destacar que una reducción del precio de L-AmB a 100 US$/vial conllevaría también que el actual tratamiento de segunda línea en Marruecos fuera rentable (régimen de L-AmB de larga duración).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El mercado de medicamentos antimaláricos en el distrito de Manhiça</w:t>
      </w:r>
    </w:p>
    <w:p>
      <w:pPr>
        <w:pStyle w:val="Normal"/>
        <w:spacing w:lineRule="auto" w:line="360"/>
        <w:rPr>
          <w:rFonts w:ascii="Calibri" w:hAnsi="Calibri" w:asciiTheme="majorHAnsi" w:hAnsiTheme="majorHAnsi"/>
        </w:rPr>
      </w:pPr>
      <w:r>
        <w:rPr>
          <w:rFonts w:ascii="Calibri" w:hAnsi="Calibri" w:asciiTheme="majorHAnsi" w:hAnsiTheme="majorHAnsi"/>
        </w:rPr>
        <w:t>El mercado de AL pediátrico ha sido estudiado en el distrito de Manhiça a través de la estimación de la oferta y demanda local de AL. Los cuidadores de los niños participantes indicaron una capacidad de pago promedio, definida como la demanda de AL, de 0.94 US$ para tratar un episodio de malaria pediátrica. Ante esta demanda, existe una brecha promedio de 1.04 US$ en comparación con la oferta privada local media de AL. Sin embargo, la demanda de AL fue menor que la disposición a pagar por redes mosquiteras tratadas con insecticida en el distrito (2.97 US$ por red).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estudio ha permitido observar los determinantes socio-demográficos de la demanda teórica de AL. El número de episodios previos de malaria está negativamente asociado a la demanda de AL (elasticidad de la demanda de -14%). Este hecho implica que la demanda de AL disminuye a medida que la percepción del riesgo de malaria disminuye cuando los niños se recuperan de episodios recientes de la enfermedad. La demanda de AL también está negativamente asociada a la edad del niño, la riqueza del hogar y al hecho de residir en ciertos barrios comparado con residir en la Vila de Manhiça; pero positivamente asociada a la ocupación del cabeza de familia y la disposición a pagar por AL.</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Contrastando la oferta y demanda local estimada, el equilibrio del mercado teórico se alcanza a un precio de 0,70 US$ por episodio de malaria no complicada, revelando que la mitad de la muestra del estudio no podía pagar el tratamiento a su precio de mercado. Sin embargo, dado que la estimación del excedente del productor duplica al del consumidor, intervenir el mercado privado reduciendo los precios privados locales y fortalecer los sistemas sanitarios para evitar desabastecimientos son estrategias alternativas para mejorar el acceso al tratamiento de la malaria.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i/>
          <w:i/>
        </w:rPr>
      </w:pPr>
      <w:r>
        <w:rPr>
          <w:rFonts w:ascii="Calibri" w:hAnsi="Calibri" w:asciiTheme="majorHAnsi" w:hAnsiTheme="majorHAnsi"/>
          <w:b/>
          <w:i/>
        </w:rPr>
        <w:t>Costes del programa piloto de vacunación contra el VPH a niñas adolescentes en escuelas de primaria</w:t>
      </w:r>
    </w:p>
    <w:p>
      <w:pPr>
        <w:pStyle w:val="Normal"/>
        <w:spacing w:lineRule="auto" w:line="360"/>
        <w:rPr>
          <w:rFonts w:ascii="Calibri" w:hAnsi="Calibri" w:asciiTheme="majorHAnsi" w:hAnsiTheme="majorHAnsi"/>
        </w:rPr>
      </w:pPr>
      <w:r>
        <w:rPr>
          <w:rFonts w:ascii="Calibri" w:hAnsi="Calibri" w:asciiTheme="majorHAnsi" w:hAnsiTheme="majorHAnsi"/>
        </w:rPr>
        <w:t>En el distrito de Manhiça el coste económico promedio por dosis del programa piloto de vacunación contra el VPH en las escuelas es de 17,59 US$; de los cuáles 1,42 US$ fueron costes de introducción, 15,64 US$ recurrentes y 0,53 US$ de la cadena de frío. El programa inmunizó completamente al 77% de la población objetivo total, que consistía en niñas de 10 años que recibieron tres dosis. La gran mayoría de ellas fueron vacunadas en una de las escuelas primarias del distrito, y sólo dos niñas recibieron la vacuna en una unidad sanitaria. El coste promedio estimado por dosis fue más bajo que el promedio reportado en otros programas, pero el costo financiero por niña completamente inmunizada fue mayor (17,95 dólares). Esto es debido a la cobertura de la vacuna ya que la mayoría de las niñas no vacunadas estaban ausentes o no asistían a la escuela, pero también debido a ciertas características del distrito, como la moderada densidad de población, el reducido número de unidades sanitarias y su considerable distancia respecto a las escuelas.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b/>
          <w:b/>
        </w:rPr>
      </w:pPr>
      <w:r>
        <w:rPr>
          <w:rFonts w:ascii="Calibri" w:hAnsi="Calibri" w:asciiTheme="majorHAnsi" w:hAnsiTheme="majorHAnsi"/>
          <w:b/>
        </w:rPr>
        <w:t>Conclusiones y recomendaciones</w:t>
      </w:r>
    </w:p>
    <w:p>
      <w:pPr>
        <w:pStyle w:val="Normal"/>
        <w:spacing w:lineRule="auto" w:line="360"/>
        <w:rPr>
          <w:rFonts w:ascii="Calibri" w:hAnsi="Calibri" w:asciiTheme="majorHAnsi" w:hAnsiTheme="majorHAnsi"/>
        </w:rPr>
      </w:pPr>
      <w:r>
        <w:rPr>
          <w:rFonts w:ascii="Calibri" w:hAnsi="Calibri" w:asciiTheme="majorHAnsi" w:hAnsiTheme="majorHAnsi"/>
        </w:rPr>
        <w:t>Los costes de asistencia de la LV están cubiertos por el seguro nacional de salud en Marruecos, pero las unidades sanitarias públicas todavía usan herramientas invasivas y menos efectivas para su diagnóstico y tratamiento. Los resultados del estudio concluyen que la adopción de un TDR y el régimen de L-AmB de corto plazo son estrategias rentables en comparación con las prácticas actuales en Marruecos. Por lo tanto, deberían implementarse para mejorar la asistencia de VL en Marruecos y, posiblemente, en otros países del norte de África con desafíos similares. Además, estos países deberían coordinarse para negociar una reducción del precio de la L-AmB para los países de ingreso mediano, garantizando así la adopción del régimen de L-AmB de largo plazo en la región.</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La mayoría de los cuidadores que buscan asistencia pediátrica para la malaria en las instalaciones públicas de salud en Manhiça declararon tener una capacidad de pago para los medicamentos antipalúdicos menor que el precio privado local medio. La demanda estimada de AL resultó ser elástica, reflejando una alta respuesta a los episodios de malaria ocurridos recientemente. Este hecho pone de relieve el acceso limitado al tratamiento en el distrito, lo que puede conducir a pagos catastróficos en presencia de desabastecimiento de medicamentos en el sector público. Para evitar esta situación, reducir el precio privado de AL o aumentar la competencia son estrategias necesarias para lograr el acceso universal a los medicamentos antimaláricos.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El coste promedio por dosis del programa piloto de la vacuna contra el VPH en el distrito de Manhiça fue menor que la estimación media reportada en otros programas de demostración similares en PIBM, pero el coste por niña completamente inmunizada fue mayor. Un uso más eficiente de los recursos y una búsqueda activa de alcance comunitario para llegar a las niñas que no asisten a la escuela puede aumentar la cobertura del programa y reducir el coste financiero por niña completamente inmunizada.</w:t>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r>
        <w:br w:type="page"/>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Normal"/>
        <w:spacing w:lineRule="auto" w:line="360"/>
        <w:rPr>
          <w:rFonts w:ascii="Calibri" w:hAnsi="Calibri" w:asciiTheme="majorHAnsi" w:hAnsiTheme="majorHAnsi"/>
          <w:lang w:val="es-ES"/>
        </w:rPr>
      </w:pPr>
      <w:r>
        <w:rPr>
          <w:rFonts w:asciiTheme="majorHAnsi" w:hAnsiTheme="majorHAnsi" w:ascii="Calibri" w:hAnsi="Calibri"/>
          <w:lang w:val="es-ES"/>
        </w:rPr>
      </w:r>
    </w:p>
    <w:p>
      <w:pPr>
        <w:pStyle w:val="Heading1"/>
        <w:rPr>
          <w:rFonts w:ascii="Calibri" w:hAnsi="Calibri" w:asciiTheme="majorHAnsi" w:hAnsiTheme="majorHAnsi"/>
        </w:rPr>
      </w:pPr>
      <w:bookmarkStart w:id="3" w:name="_Toc382138181"/>
      <w:bookmarkEnd w:id="3"/>
      <w:r>
        <w:rPr>
          <w:rFonts w:ascii="Calibri" w:hAnsi="Calibri" w:asciiTheme="majorHAnsi" w:hAnsiTheme="majorHAnsi"/>
        </w:rPr>
        <w:t>I. Introduction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Theme="majorHAnsi" w:hAnsiTheme="majorHAnsi" w:ascii="Calibri" w:hAnsi="Calibri"/>
          <w:b/>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4" w:name="_Toc382138182"/>
      <w:bookmarkEnd w:id="4"/>
      <w:r>
        <w:rPr>
          <w:lang w:val="en-GB"/>
        </w:rPr>
        <w:t>1. Infectious diseases and global health challenges</w:t>
      </w:r>
    </w:p>
    <w:p>
      <w:pPr>
        <w:pStyle w:val="Normal"/>
        <w:widowControl w:val="false"/>
        <w:spacing w:lineRule="auto" w:line="360"/>
        <w:rPr/>
      </w:pPr>
      <w:r>
        <w:rPr>
          <w:rFonts w:ascii="Calibri" w:hAnsi="Calibri" w:asciiTheme="majorHAnsi" w:hAnsiTheme="majorHAnsi"/>
          <w:lang w:val="en-GB"/>
        </w:rPr>
        <w:t xml:space="preserve">A number of factors, including economic growth and population ageing, has </w:t>
      </w:r>
      <w:del w:id="78" w:author="Unknown Author" w:date="2018-04-12T10:46:00Z">
        <w:r>
          <w:rPr>
            <w:rFonts w:ascii="Calibri" w:hAnsi="Calibri" w:asciiTheme="majorHAnsi" w:hAnsiTheme="majorHAnsi"/>
            <w:lang w:val="en-GB"/>
          </w:rPr>
          <w:delText>boosted</w:delText>
        </w:r>
      </w:del>
      <w:ins w:id="79" w:author="Unknown Author" w:date="2018-04-12T10:46:00Z">
        <w:r>
          <w:rPr>
            <w:rFonts w:ascii="Calibri" w:hAnsi="Calibri" w:asciiTheme="majorHAnsi" w:hAnsiTheme="majorHAnsi"/>
            <w:lang w:val="en-GB"/>
          </w:rPr>
          <w:t>accelerated</w:t>
        </w:r>
      </w:ins>
      <w:r>
        <w:rPr>
          <w:rFonts w:ascii="Calibri" w:hAnsi="Calibri" w:asciiTheme="majorHAnsi" w:hAnsiTheme="majorHAnsi"/>
          <w:lang w:val="en-GB"/>
        </w:rPr>
        <w:t xml:space="preserve"> the </w:t>
      </w:r>
      <w:ins w:id="80" w:author="Unknown Author" w:date="2018-04-12T10:46:00Z">
        <w:r>
          <w:rPr>
            <w:rFonts w:ascii="Calibri" w:hAnsi="Calibri" w:asciiTheme="majorHAnsi" w:hAnsiTheme="majorHAnsi"/>
            <w:lang w:val="en-GB"/>
          </w:rPr>
          <w:t xml:space="preserve">worldwide </w:t>
        </w:r>
      </w:ins>
      <w:r>
        <w:rPr>
          <w:rFonts w:ascii="Calibri" w:hAnsi="Calibri" w:asciiTheme="majorHAnsi" w:hAnsiTheme="majorHAnsi"/>
          <w:lang w:val="en-GB"/>
        </w:rPr>
        <w:t xml:space="preserve">epidemiological transition </w:t>
      </w:r>
      <w:del w:id="81" w:author="Unknown Author" w:date="2018-04-12T10:46:00Z">
        <w:r>
          <w:rPr>
            <w:rFonts w:ascii="Calibri" w:hAnsi="Calibri" w:asciiTheme="majorHAnsi" w:hAnsiTheme="majorHAnsi"/>
            <w:lang w:val="en-GB"/>
          </w:rPr>
          <w:delText xml:space="preserve">worldwide </w:delText>
        </w:r>
      </w:del>
      <w:r>
        <w:rPr>
          <w:rFonts w:ascii="Calibri" w:hAnsi="Calibri" w:asciiTheme="majorHAnsi" w:hAnsiTheme="majorHAnsi"/>
          <w:lang w:val="en-GB"/>
        </w:rPr>
        <w:t xml:space="preserve">with a shift of the global burden of disease from infectious to non-communicable diseases </w:t>
      </w:r>
      <w:r>
        <w:fldChar w:fldCharType="begin"/>
      </w:r>
      <w:r>
        <w:instrText>ADDIN CSL_CITATION { "citationItems" : [ { "id" : "ITEM-1", "itemData" : { "DOI" : "10.1007/s10198-003-0219-9", "ISSN" : "1618-7598", "author" : [ { "dropping-particle" : "", "family" : "Morand", "given" : "OlivierF.", "non-dropping-particle" : "", "parse-names" : false, "suffix" : "" } ], "container-title" : "The European Journal of Health Economics, formerly: HEPAC", "id" : "ITEM-1", "issue" : "2", "issued" : { "date-parts" : [ [ "2004", "5" ] ] }, "page" : "166-174", "publisher" : "Springer-Verlag", "title" : "Economic growth, longevity and the epidemiological transition", "type" : "article-journal", "volume" : "5" }, "uris" : [ "http://www.mendeley.com/documents/?uuid=603852a3-8bc9-3159-b62f-14d7f3ca76d9"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"(Morand, 2004; Farlow, 2016)", "plainTextFormattedCitation" : "(Morand, 2004; Farlow, 2016)", "previouslyFormattedCitation" : "(Morand, 2004; Farlow, 2016)" }, "properties" : {  }, "schema" : "https://github.com/citation-style-language/schema/raw/master/csl-citation.json" }</w:instrText>
      </w:r>
      <w:r>
        <w:fldChar w:fldCharType="separate"/>
      </w:r>
      <w:bookmarkStart w:id="5" w:name="__Fieldmark__466_513475976"/>
      <w:r>
        <w:rPr>
          <w:rFonts w:ascii="Calibri" w:hAnsi="Calibri" w:asciiTheme="majorHAnsi" w:hAnsiTheme="majorHAnsi"/>
          <w:lang w:val="en-GB"/>
        </w:rPr>
        <w:t>(</w:t>
      </w:r>
      <w:bookmarkStart w:id="6" w:name="__Fieldmark__2089_903549581"/>
      <w:r>
        <w:rPr>
          <w:rFonts w:ascii="Calibri" w:hAnsi="Calibri" w:asciiTheme="majorHAnsi" w:hAnsiTheme="majorHAnsi"/>
          <w:lang w:val="en-GB"/>
        </w:rPr>
        <w:t>Morand, 2004; Farlow, 2016)</w:t>
      </w:r>
      <w:r>
        <w:rPr>
          <w:rFonts w:ascii="Calibri" w:hAnsi="Calibri" w:asciiTheme="majorHAnsi" w:hAnsiTheme="majorHAnsi"/>
          <w:lang w:val="en-GB"/>
        </w:rPr>
      </w:r>
      <w:r>
        <w:fldChar w:fldCharType="end"/>
      </w:r>
      <w:bookmarkEnd w:id="5"/>
      <w:bookmarkEnd w:id="6"/>
      <w:r>
        <w:rPr>
          <w:rFonts w:ascii="Calibri" w:hAnsi="Calibri" w:asciiTheme="majorHAnsi" w:hAnsiTheme="majorHAnsi"/>
          <w:lang w:val="en-GB"/>
        </w:rPr>
        <w:t>.</w:t>
      </w:r>
      <w:ins w:id="82" w:author="Unknown Author" w:date="2018-04-12T10:46:00Z">
        <w:r>
          <w:rPr>
            <w:rFonts w:ascii="Calibri" w:hAnsi="Calibri" w:asciiTheme="majorHAnsi" w:hAnsiTheme="majorHAnsi"/>
            <w:lang w:val="en-GB"/>
          </w:rPr>
          <w:t xml:space="preserve">, </w:t>
        </w:r>
      </w:ins>
      <w:ins w:id="83" w:author="Unknown Author" w:date="2018-04-12T10:46:00Z">
        <w:r>
          <w:rPr>
            <w:rFonts w:ascii="Calibri" w:hAnsi="Calibri" w:asciiTheme="majorHAnsi" w:hAnsiTheme="majorHAnsi"/>
            <w:lang w:val="en-GB"/>
          </w:rPr>
          <w:t>the latter r</w:t>
        </w:r>
      </w:ins>
      <w:ins w:id="84" w:author="Unknown Author" w:date="2018-04-12T10:47:00Z">
        <w:r>
          <w:rPr>
            <w:rFonts w:ascii="Calibri" w:hAnsi="Calibri" w:asciiTheme="majorHAnsi" w:hAnsiTheme="majorHAnsi"/>
            <w:lang w:val="en-GB"/>
          </w:rPr>
          <w:t>epresenting</w:t>
        </w:r>
      </w:ins>
      <w:del w:id="85" w:author="Unknown Author" w:date="2018-04-12T10:46:00Z">
        <w:r>
          <w:rPr>
            <w:rFonts w:ascii="Calibri" w:hAnsi="Calibri" w:asciiTheme="majorHAnsi" w:hAnsiTheme="majorHAnsi"/>
            <w:lang w:val="en-GB"/>
          </w:rPr>
          <w:delText xml:space="preserve"> Non-communicable diseases represent</w:delText>
        </w:r>
      </w:del>
      <w:r>
        <w:rPr>
          <w:rFonts w:ascii="Calibri" w:hAnsi="Calibri" w:asciiTheme="majorHAnsi" w:hAnsiTheme="majorHAnsi"/>
          <w:lang w:val="en-GB"/>
        </w:rPr>
        <w:t xml:space="preserve"> two thirds of </w:t>
      </w:r>
      <w:del w:id="86"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mortality and an increasing proportion of </w:t>
      </w:r>
      <w:del w:id="87" w:author="Unknown Author" w:date="2018-04-12T10:30: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morbidity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"10.1016/S0140-6736(14)60844-8", "ISSN" : "1474-547X", "PMID" : "25059949", "abstract" : "BACKGROUND The Millennium Declaration in 2000 brought special global attention to HIV, tuberculosis, and malaria through the formulation of Millennium Development Goal (MDG) 6. The Global Burden of Disease 2013 study provides a consistent and comprehensive approach to disease estimation for between 1990 and 2013, and an opportunity to assess whether accelerated progress has occured since the Millennium Declaration. METHODS To estimate incidence and mortality for HIV, we used the UNAIDS Spectrum model appropriately modified based on a systematic review of available studies of mortality with and without antiretroviral therapy (ART). For concentrated epidemics, we calibrated Spectrum models to fit vital registration data corrected for misclassification of HIV deaths. In generalised epidemics, we minimised a loss function to select epidemic curves most consistent with prevalence data and demographic data for all-cause mortality. We analysed counterfactual scenarios for HIV to assess years of life saved through prevention of mother-to-child transmission (PMTCT) and ART. For tuberculosis, we analysed vital registration and verbal autopsy data to estimate mortality using cause of death ensemble modelling. We analysed data for corrected case-notifications, expert opinions on the case-detection rate, prevalence surveys, and estimated cause-specific mortality using Bayesian meta-regression to generate consistent trends in all parameters. We analysed malaria mortality and incidence using an updated cause of death database, a systematic analysis of verbal autopsy validation studies for malaria, and recent studies (2010-13) of incidence, drug resistance, and coverage of insecticide-treated bednets. FINDINGS Globally in 2013, there were 1\u00b78 million new HIV infections (95% uncertainty interval 1\u00b77 million to 2\u00b71 million), 29\u00b72 million prevalent HIV cases (28\u00b71 to 31\u00b77), and 1\u00b73 million HIV deaths (1\u00b73 to 1\u00b75). At the peak of the epidemic in 2005, HIV caused 1\u00b77 million deaths (1\u00b76 million to 1\u00b79 million). Concentrated epidemics in Latin America and eastern Europe are substantially smaller than previously estimated. Through interventions including PMTCT and ART, 19\u00b71 million life-years (16\u00b76 million to 21\u00b75 million) have been saved, 70\u00b73% (65\u00b74 to 76\u00b71) in developing countries. From 2000 to 2011, the ratio of development assistance for health for HIV to years of life saved through intervention was US$4498 in developing countries. Including in HIV-positive individuals, \u2026", "author" : [ { "dropping-particle" : "", "family" : "Murray", "given" : "Christopher J L", "non-dropping-particle" : "", "parse-names" : false, "suffix" : "" }, { "dropping-particle" : "", "family" : "Ortblad", "given" : "Katrina F", "non-dropping-particle" : "", "parse-names" : false, "suffix" : "" }, { "dropping-particle" : "", "family" : "Guinovart", "given" : "Caterina", "non-dropping-particle" : "", "parse-names" : false, "suffix" : "" }, { "dropping-particle" : "", "family" : "Lim", "given" : "Stephen S", "non-dropping-particle" : "", "parse-names" : false, "suffix" : "" }, { "dropping-particle" : "", "family" : "Wolock", "given" : "Timothy M", "non-dropping-particle" : "", "parse-names" : false, "suffix" : "" }, { "dropping-particle" : "", "family" : "Roberts", "given" : "D Allen", "non-dropping-particle" : "", "parse-names" : false, "suffix" : "" }, { "dropping-particle" : "", "family" : "Dansereau", "given" : "Emily A", "non-dropping-particle" : "", "parse-names" : false, "suffix" : "" }, { "dropping-particle" : "", "family" : "Graetz", "given" : "Nicholas", "non-dropping-particle" : "", "parse-names" : false, "suffix" : "" }, { "dropping-particle" : "", "family" : "Barber", "given" : "Ryan M", "non-dropping-particle" : "", "parse-names" : false, "suffix" : "" }, { "dropping-particle" : "", "family" : "Brown", "given" : "Jonathan C", "non-dropping-particle" : "", "parse-names" : false, "suffix" : "" }, { "dropping-particle" : "", "family" : "Wang", "given" : "Haidong", "non-dropping-particle" : "", "parse-names" : false, "suffix" : "" }, { "dropping-particle" : "", "family" : "Duber", "given" : "Herbert C", "non-dropping-particle" : "", "parse-names" : false, "suffix" : "" }, { "dropping-particle" : "", "family" : "Naghavi", "given" : "Mohsen", "non-dropping-particle" : "", "parse-names" : false, "suffix" : "" }, { "dropping-particle" : "", "family" : "Dicker", "given" : "Daniel", "non-dropping-particle" : "", "parse-names" : false, "suffix" : "" }, { "dropping-particle" : "", "family" : "Dandona", "given" : "Lalit", "non-dropping-particle" : "", "parse-names" : false, "suffix" : "" }, { "dropping-particle" : "", "family" : "Salomon", "given" : "Joshua A", "non-dropping-particle" : "", "parse-names" : false, "suffix" : "" }, { "dropping-particle" : "", "family" : "Heuton", "given" : "Kyle R", "non-dropping-particle" : "", "parse-names" : false, "suffix" : "" }, { "dropping-particle" : "", "family" : "Foreman", "given" : "Kyle", "non-dropping-particle" : "", "parse-names" : false, "suffix" : "" }, { "dropping-particle" : "", "family" : "Phillips", "given" : "David E", "non-dropping-particle" : "", "parse-names" : false, "suffix" : "" }, { "dropping-particle" : "", "family" : "Fleming", "given" : "Thomas D", "non-dropping-particle" : "", "parse-names" : false, "suffix" : "" }, { "dropping-particle" : "", "family" : "Flaxman", "given" : "Abraham D", "non-dropping-particle" : "", "parse-names" : false, "suffix" : "" }, { "dropping-particle" : "", "family" : "Phillips", "given" : "Bryan K", "non-dropping-particle" : "", "parse-names" : false, "suffix" : "" }, { "dropping-particle" : "", "family" : "Johnson", "given" : "Elizabeth K", "non-dropping-particle" : "", "parse-names" : false, "suffix" : "" }, { "dropping-particle" : "", "family" : "Coggeshall", "given" : "Megan S", "non-dropping-particle" : "", "parse-names" : false, "suffix" : "" }, { "dropping-particle" : "", "family" : "Abd-Allah", "given" : "Foad", "non-dropping-particle" : "", "parse-names" : false, "suffix" : "" }, { "dropping-particle" : "", "family" : "Abera", "given" : "Semaw Ferede", "non-dropping-particle" : "", "parse-names" : false, "suffix" : "" }, { "dropping-particle" : "", "family" : "Abraham", "given" : "Jerry P", "non-dropping-particle" : "", "parse-names" : false, "suffix" : "" }, { "dropping-particle" : "", "family" : "Abubakar", "given" : "Ibrahim", "non-dropping-particle" : "", "parse-names" : false, "suffix" : "" }, { "dropping-particle" : "", "family" : "Abu-Raddad", "given" : "Laith J", "non-dropping-particle" : "", "parse-names" : false, "suffix" : "" }, { "dropping-particle" : "", "family" : "Abu-Rmeileh", "given" : "Niveen Me", "non-dropping-particle" : "", "parse-names" : false, "suffix" : "" }, { "dropping-particle" : "", "family" : "Achoki", "given" : "Tom", "non-dropping-particle" : "", "parse-names" : false, "suffix" : "" }, { "dropping-particle" : "", "family" : "Adeyemo", "given" : "Austine Olufemi", "non-dropping-particle" : "", "parse-names" : false, "suffix" : "" }, { "dropping-particle" : "", "family" : "Adou", "given" : "Ars\u00e8ne Kouablan", "non-dropping-particle" : "", "parse-names" : false, "suffix" : "" }, { "dropping-particle" : "", "family" : "Adsuar", "given" : "Jos\u00e9 C", "non-dropping-particle" : "", "parse-names" : false, "suffix" : "" }, { "dropping-particle" : "", "family" : "Agardh", "given" : "Emilie Elisabet", "non-dropping-particle" : "", "parse-names" : false, "suffix" : "" }, { "dropping-particle" : "", "family" : "Akena", "given" : "Dickens", "non-dropping-particle" : "", "parse-names" : false, "suffix" : "" }, { "dropping-particle" : "", "family" : "Kahbouri", "given" : "Mazin J", "non-dropping-particle" : "Al", "parse-names" : false, "suffix" : "" }, { "dropping-particle" : "", "family" : "Alasfoor", "given" : "Deena", "non-dropping-particle" : "", "parse-names" : false, "suffix" : "" }, { "dropping-particle" : "", "family" : "Albittar", "given" : "Mohammed I", "non-dropping-particle" : "", "parse-names" : false, "suffix" : "" }, { "dropping-particle" : "", "family" : "Alcal\u00e1-Cerra", "given" : "Gabriel", "non-dropping-particle" : "", "parse-names" : false, "suffix" : "" }, { "dropping-particle" : "", "family" : "Alegretti", "given" : "Miguel Angel", "non-dropping-particle" : "", "parse-names" : false, "suffix" : "" }, { "dropping-particle" : "", "family" : "Alemu", "given" : "Zewdie Aderaw", "non-dropping-particle" : "", "parse-names" : false, "suffix" : "" }, { "dropping-particle" : "", "family" : "Alfonso-Cristancho", "given" : "Rafael", "non-dropping-particle" : "", "parse-names" : false, "suffix" : "" }, { "dropping-particle" : "", "family" : "Alhabib", "given" : "Samia", "non-dropping-particle" : "", "parse-names" : false, "suffix" : "" }, { "dropping-particle" : "", "family" : "Ali", "given" : "Raghib", "non-dropping-particle" : "", "parse-names" : false, "suffix" : "" }, { "dropping-particle" : "", "family" : "Alla", "given" : "Francois", "non-dropping-particle" : "", "parse-names" : false, "suffix" : "" }, { "dropping-particle" : "", "family" : "Allen", "given" : "Peter J", "non-dropping-particle" : "", "parse-names" : false, "suffix" : "" }, { "dropping-particle" : "", "family" : "Alsharif", "given" : "Ubai", "non-dropping-particle" : "", "parse-names" : false, "suffix" : "" }, { "dropping-particle" : "", "family" : "Alvarez", "given" : "Elena", "non-dropping-particle" : "", "parse-names" : false, "suffix" : "" }, { "dropping-particle" : "", "family" : "Alvis-Guzman", "given" : "Nelson", "non-dropping-particle" : "", "parse-names" : false, "suffix" : "" }, { "dropping-particle" : "", "family" : "Amankwaa", "given" : "Adansi A", "non-dropping-particle" : "", "parse-names" : false, "suffix" : "" }, { "dropping-particle" : "", "family" : "Amare", "given" : "Azmeraw T", "non-dropping-particle" : "", "parse-names" : false, "suffix" : "" }, { "dropping-particle" : "", "family" : "Amini", "given" : "Hassan", "non-dropping-particle" : "", "parse-names" : false, "suffix" : "" }, { "dropping-particle" : "", "family" : "Ammar", "given" : "Walid", "non-dropping-particle" : "", "parse-names" : false, "suffix" : "" }, { "dropping-particle" : "", "family" : "Anderson", "given" : "Benjamin O", "non-dropping-particle" : "", "parse-names" : false, "suffix" : "" }, { "dropping-particle" : "", "family" : "Antonio", "given" : "Carl Abelardo T", "non-dropping-particle" : "", "parse-names" : false, "suffix" : "" }, { "dropping-particle" : "", "family" : "Anwari", "given" : "Palwasha", "non-dropping-particle" : "", "parse-names" : false, "suffix" : "" }, { "dropping-particle" : "", "family" : "Arnl\u00f6v", "given" : "Johan", "non-dropping-particle" : "", "parse-names" : false, "suffix" : "" }, { "dropping-particle" : "", "family" : "Arsenijevic", "given" : "Valentina S Arsic", "non-dropping-particle" : "", "parse-names" : false, "suffix" : "" }, { "dropping-particle" : "", "family" : "Artaman", "given" : "Ali", "non-dropping-particle" : "", "parse-names" : false, "suffix" : "" }, { "dropping-particle" : "", "family" : "Asghar", "given" : "Rana J", "non-dropping-particle" : "", "parse-names" : false, "suffix" : "" }, { "dropping-particle" : "", "family" : "Assadi", "given" : "Reza", "non-dropping-particle" : "", "parse-names" : false, "suffix" : "" }, { "dropping-particle" : "", "family" : "Atkins", "given" : "Lydia S", "non-dropping-particle" : "", "parse-names" : false, "suffix" : "" }, { "dropping-particle" : "", "family" : "Badawi", "given" : "Alaa", "non-dropping-particle" : "", "parse-names" : false, "suffix" : "" }, { "dropping-particle" : "", "family" : "Balakrishnan", "given" : "Kalpana", "non-dropping-particle" : "", "parse-names" : false, "suffix" : "" }, { "dropping-particle" : "", "family" : "Banerjee", "given" : "Amitava", "non-dropping-particle" : "", "parse-names" : false, "suffix" : "" }, { "dropping-particle" : "", "family" : "Basu", "given" : "Sanjay", "non-dropping-particle" : "", "parse-names" : false, "suffix" : "" }, { "dropping-particle" : "", "family" : "Beardsley", "given" : "Justin", "non-dropping-particle" : "", "parse-names" : false, "suffix" : "" }, { "dropping-particle" : "", "family" : "Bekele", "given" : "Tolesa", "non-dropping-particle" : "", "parse-names" : false, "suffix" : "" }, { "dropping-particle" : "", "family" : "Bell", "given" : "Michelle L", "non-dropping-particle" : "", "parse-names" : false, "suffix" : "" }, { "dropping-particle" : "", "family" : "Bernabe", "given" : "Eduardo", "non-dropping-particle" : "", "parse-names" : false, "suffix" : "" }, { "dropping-particle" : "", "family" : "Beyene", "given" : "Tariku Jibat", "non-dropping-particle" : "", "parse-names" : false, "suffix" : "" }, { "dropping-particle" : "", "family" : "Bhala", "given" : "Neeraj", "non-dropping-particle" : "", "parse-names" : false, "suffix" : "" }, { "dropping-particle" : "", "family" : "Bhalla", "given" : "Ashish", "non-dropping-particle" : "", "parse-names" : false, "suffix" : "" }, { "dropping-particle" : "", "family" : "Bhutta", "given" : "Zulfiqar A", "non-dropping-particle" : "", "parse-names" : false, "suffix" : "" }, { "dropping-particle" : "Bin", "family" : "Abdulhak", "given" : "Aref", "non-dropping-particle" : "", "parse-names" : false, "suffix" : "" }, { "dropping-particle" : "", "family" : "Binagwaho", "given" : "Agnes", "non-dropping-particle" : "", "parse-names" : false, "suffix" : "" }, { "dropping-particle" : "", "family" : "Blore", "given" : "Jed D", "non-dropping-particle" : "", "parse-names" : false, "suffix" : "" }, { "dropping-particle" : "", "family" : "Basara", "given" : "Berrak Bora", "non-dropping-particle" : "", "parse-names" : false, "suffix" : "" }, { "dropping-particle" : "", "family" : "Bose", "given" : "Dipan", "non-dropping-particle" : "", "parse-names" : false, "suffix" : "" }, { "dropping-particle" : "", "family" : "Brainin", "given" : "Michael", "non-dropping-particle" : "", "parse-names" : false, "suffix" : "" }, { "dropping-particle" : "", "family" : "Breitborde", "given" : "Nicholas", "non-dropping-particle" : "", "parse-names" : false, "suffix" : "" }, { "dropping-particle" : "", "family" : "Casta\u00f1eda-Orjuela", "given" : "Carlos A", "non-dropping-particle" : "", "parse-names" : false, "suffix" : "" }, { "dropping-particle" : "", "family" : "Catal\u00e1-L\u00f3pez", "given" : "Ferr\u00e1n", "non-dropping-particle" : "", "parse-names" : false, "suffix" : "" }, { "dropping-particle" : "", "family" : "Chadha", "given" : "Vineet K", "non-dropping-particle" : "", "parse-names" : false, "suffix" : "" }, { "dropping-particle" : "", "family" : "Chang", "given" : "Jung-Chen", "non-dropping-particle" : "", "parse-names" : false, "suffix" : "" }, { "dropping-particle" : "", "family" : "Chiang", "given" : "Peggy Pei-Chia", "non-dropping-particle" : "", "parse-names" : false, "suffix" : "" }, { "dropping-particle" : "", "family" : "Chuang", "given" : "Ting-Wu", "non-dropping-particle" : "", "parse-names" : false, "suffix" : "" }, { "dropping-particle" : "", "family" : "Colomar", "given" : "Mercedes", "non-dropping-particle" : "", "parse-names" : false, "suffix" : "" }, { "dropping-particle" : "", "family" : "Cooper", "given" : "Leslie Trumbull", "non-dropping-particle" : "", "parse-names" : false, "suffix" : "" }, { "dropping-particle" : "", "family" : "Cooper", "given" : "Cyrus", "non-dropping-particle" : "", "parse-names" : false, "suffix" : "" }, { "dropping-particle" : "", "family" : "Courville", "given" : "Karen J", "non-dropping-particle" : "", "parse-names" : false, "suffix" : "" }, { "dropping-particle" : "", "family" : "Cowie", "given" : "Benjamin C", "non-dropping-particle" : "", "parse-names" : false, "suffix" : "" }, { "dropping-particle" : "", "family" : "Criqui", "given" : "Michael H", "non-dropping-particle" : "", "parse-names" : false, "suffix" : "" }, { "dropping-particle" : "", "family" : "Dandona", "given" : "Rakhi", "non-dropping-particle" : "", "parse-names" : false, "suffix" : "" }, { "dropping-particle" : "", "family" : "Dayama", "given" : "Anand", "non-dropping-particle" : "", "parse-names" : false, "suffix" : "" }, { "dropping-particle" : "", "family" : "Leo", "given" : "Diego", "non-dropping-particle" : "De", "parse-names" : false, "suffix" : "" }, { "dropping-particle" : "", "family" : "Degenhardt", "given" : "Louisa", "non-dropping-particle" : "", "parse-names" : false, "suffix" : "" }, { "dropping-particle" : "", "family" : "Pozo-Cruz", "given" : "Borja", "non-dropping-particle" : "Del", "parse-names" : false, "suffix" : "" }, { "dropping-particle" : "", "family" : "Deribe", "given" : "Kebede", "non-dropping-particle" : "", "parse-names" : false, "suffix" : "" }, { "dropping-particle" : "", "family" : "Jarlais", "given" : "Don C", "non-dropping-particle" : "Des", "parse-names" : false, "suffix" : "" }, { "dropping-particle" : "", "family" : "Dessalegn", "given" : "Muluken", "non-dropping-particle" : "", "parse-names" : false, "suffix" : "" }, { "dropping-particle" : "", "family" : "Dharmaratne", "given" : "Samath D", "non-dropping-particle" : "", "parse-names" : false, "suffix" : "" }, { "dropping-particle" : "", "family" : "Dilmen", "given" : "U\u011fur", "non-dropping-particle" : "", "parse-names" : false, "suffix" : "" }, { "dropping-particle" : "", "family" : "Ding", "given" : "Eric L", "non-dropping-particle" : "", "parse-names" : false, "suffix" : "" }, { "dropping-particle" : "", "family" : "Driscoll", "given" : "Tim R", "non-dropping-particle" : "", "parse-names" : false, "suffix" : "" }, { "dropping-particle" : "", "family" : "Durrani", "given" : "Adnan M", "non-dropping-particle" : "", "parse-names" : false, "suffix" : "" }, { "dropping-particle" : "", "family" : "Ellenbogen", "given" : "Richard G", "non-dropping-particle" : "", "parse-names" : false, "suffix" : "" }, { "dropping-particle" : "", "family" : "Ermakov", "given" : "Sergey Petrovich", "non-dropping-particle" : "", "parse-names" : false, "suffix" : "" }, { "dropping-particle" : "", "family" : "Esteghamati", "given" : "Alireza", "non-dropping-particle" : "", "parse-names" : false, "suffix" : "" }, { "dropping-particle" : "", "family" : "Faraon", "given" : "Emerito Jose A", "non-dropping-particle" : "", "parse-names" : false, "suffix" : "" }, { "dropping-particle" : "", "family" : "Farzadfar", "given" : "Farshad", "non-dropping-particle" : "", "parse-names" : false, "suffix" : "" }, { "dropping-particle" : "", "family" : "Fereshtehnejad", "given" : "Seyed-Mohammad", "non-dropping-particle" : "", "parse-names" : false, "suffix" : "" }, { "dropping-particle" : "", "family" : "Fijabi", "given" : "Daniel Obadare", "non-dropping-particle" : "", "parse-names" : false, "suffix" : "" }, { "dropping-particle" : "", "family" : "Forouzanfar", "given" : "Mohammad H", "non-dropping-particle" : "", "parse-names" : false, "suffix" : "" }, { "dropping-particle" : "", "family" : "Fra Paleo", "given" : "Urbano", "non-dropping-particle" : "", "parse-names" : false, "suffix" : "" }, { "dropping-particle" : "", "family" : "Gaffikin", "given" : "Lynne", "non-dropping-particle" : "", "parse-names" : false, "suffix" : "" }, { "dropping-particle" : "", "family" : "Gamkrelidze", "given" : "Amiran", "non-dropping-particle" : "", "parse-names" : false, "suffix" : "" }, { "dropping-particle" : "", "family" : "Gankp\u00e9", "given" : "Fortun\u00e9 Gb\u00e8toho", "non-dropping-particle" : "", "parse-names" : false, "suffix" : "" }, { "dropping-particle" : "", "family" : "Geleijnse", "given" : "Johanna M", "non-dropping-particle" : "", "parse-names" : false, "suffix" : "" }, { "dropping-particle" : "", "family" : "Gessner", "given" : "Bradford D", "non-dropping-particle" : "", "parse-names" : false, "suffix" : "" }, { "dropping-particle" : "", "family" : "Gibney", "given" : "Katherine B", "non-dropping-particle" : "", "parse-names" : false, "suffix" : "" }, { "dropping-particle" : "", "family" : "Ginawi", "given" : "Ibrahim Abdelmageem Mohamed", "non-dropping-particle" : "", "parse-names" : false, "suffix" : "" }, { "dropping-particle" : "", "family" : "Glaser", "given" : "Elizabeth L", "non-dropping-particle" : "", "parse-names" : false, "suffix" : "" }, { "dropping-particle" : "", "family" : "Gona", "given" : "Philimon", "non-dropping-particle" : "", "parse-names" : false, "suffix" : "" }, { "dropping-particle" : "", "family" : "Goto", "given" : "Atsushi", "non-dropping-particle" : "", "parse-names" : false, "suffix" : "" }, { "dropping-particle" : "", "family" : "Gouda", "given" : "Hebe N", "non-dropping-particle" : "", "parse-names" : false, "suffix" : "" }, { "dropping-particle" : "", "family" : "Gugnani", "given" : "Harish Chander", "non-dropping-particle" : "", "parse-names" : false, "suffix" : "" }, { "dropping-particle" : "", "family" : "Gupta", "given" : "Rajeev", "non-dropping-particle" : "", "parse-names" : false, "suffix" : "" }, { "dropping-particle" : "", "family" : "Gupta", "given" : "Rahul", "non-dropping-particle" : "", "parse-names" : false, "suffix" : "" }, { "dropping-particle" : "", "family" : "Hafezi-Nejad", "given" : "Nima", "non-dropping-particle" : "", "parse-names" : false, "suffix" : "" }, { "dropping-particle" : "", "family" : "Hamadeh", "given" : "Randah Ribhi", "non-dropping-particle" : "", "parse-names" : false, "suffix" : "" }, { "dropping-particle" : "", "family" : "Hammami", "given" : "Mouhanad", "non-dropping-particle" : "", "parse-names" : false, "suffix" : "" }, { "dropping-particle" : "", "family" : "Hankey", "given" : "Graeme J", "non-dropping-particle" : "", "parse-names" : false, "suffix" : "" }, { "dropping-particle" : "", "family" : "Harb", "given" : "Hilda L", "non-dropping-particle" : "", "parse-names" : false, "suffix" : "" }, { "dropping-particle" : "", "family" : "Haro", "given" : "Josep Maria", "non-dropping-particle" : "", "parse-names" : false, "suffix" : "" }, { "dropping-particle" : "", "family" : "Havmoeller", "given" : "Rasmus", "non-dropping-particle" : "", "parse-names" : false, "suffix" : "" }, { "dropping-particle" : "", "family" : "Hay", "given" : "Simon I", "non-dropping-particle" : "", "parse-names" : false, "suffix" : "" }, { "dropping-particle" : "", "family" : "Hedayati", "given" : "Mohammad T", "non-dropping-particle" : "", "parse-names" : false, "suffix" : "" }, { "dropping-particle" : "", "family" : "Pi", "given" : "Ileana B Heredia", "non-dropping-particle" : "", "parse-names" : false, "suffix" : "" }, { "dropping-particle" : "", "family" : "Hoek", "given" : "Hans W", "non-dropping-particle" : "", "parse-names" : false, "suffix" : "" }, { "dropping-particle" : "", "family" : "Hornberger", "given" : "John C", "non-dropping-particle" : "", "parse-names" : false, "suffix" : "" }, { "dropping-particle" : "", "family" : "Hosgood", "given" : "H Dean", "non-dropping-particle" : "", "parse-names" : false, "suffix" : "" }, { "dropping-particle" : "", "family" : "Hotez", "given" : "Peter J", "non-dropping-particle" : "", "parse-names" : false, "suffix" : "" }, { "dropping-particle" : "", "family" : "Hoy", "given" : "Damian G", "non-dropping-particle" : "", "parse-names" : false, "suffix" : "" }, { "dropping-particle" : "", "family" : "Huang", "given" : "John J", "non-dropping-particle" : "", "parse-names" : false, "suffix" : "" }, { "dropping-particle" : "", "family" : "Iburg", "given" : "Kim M", "non-dropping-particle" : "", "parse-names" : false, "suffix" : "" }, { "dropping-particle" : "", "family" : "Idrisov", "given" : "Bulat T", "non-dropping-particle" : "", "parse-names" : false, "suffix" : "" }, { "dropping-particle" : "", "family" : "Innos", "given" : "Kaire", "non-dropping-particle" : "", "parse-names" : false, "suffix" : "" }, { "dropping-particle" : "", "family" : "Jacobsen", "given" : "Kathryn H", "non-dropping-particle" : "", "parse-names" : false, "suffix" : "" }, { "dropping-particle" : "", "family" : "Jeemon", "given" : "Panniyammakal", "non-dropping-particle" : "", "parse-names" : false, "suffix" : "" }, { "dropping-particle" : "", "family" : "Jensen", "given" : "Paul N", "non-dropping-particle" : "", "parse-names" : false, "suffix" : "" }, { "dropping-particle" : "", "family" : "Jha", "given" : "Vivekanand", "non-dropping-particle" : "", "parse-names" : false, "suffix" : "" }, { "dropping-particle" : "", "family" : "Jiang", "given" : "Guohong", "non-dropping-particle" : "", "parse-names" : false, "suffix" : "" }, { "dropping-particle" : "", "family" : "Jonas", "given" : "Jost B", "non-dropping-particle" : "", "parse-names" : false, "suffix" : "" }, { "dropping-particle" : "", "family" : "Juel", "given" : "Knud", "non-dropping-particle" : "", "parse-names" : false, "suffix" : "" }, { "dropping-particle" : "", "family" : "Kan", "given" : "Haidong", "non-dropping-particle" : "", "parse-names" : false, "suffix" : "" }, { "dropping-particle" : "", "family" : "Kankindi", "given" : "Ida", "non-dropping-particle" : "", "parse-names" : false, "suffix" : "" }, { "dropping-particle" : "", "family" : "Karam", "given" : "Nadim E", "non-dropping-particle" : "", "parse-names" : false, "suffix" : "" }, { "dropping-particle" : "", "family" : "Karch", "given" : "Andr\u00e9", "non-dropping-particle" : "", "parse-names" : false, "suffix" : "" }, { "dropping-particle" : "", "family" : "Karema", "given" : "Corine Kakizi", "non-dropping-particle" : "", "parse-names" : false, "suffix" : "" }, { "dropping-particle" : "", "family" : "Kaul", "given" : "Anil", "non-dropping-particle" : "", "parse-names" : false, "suffix" : "" }, { "dropping-particle" : "", "family" : "Kawakami", "given" : "Norito", "non-dropping-particle" : "", "parse-names" : false, "suffix" : "" }, { "dropping-particle" : "", "family" : "Kazi", "given" : "Dhruv S", "non-dropping-particle" : "", "parse-names" : false, "suffix" : "" }, { "dropping-particle" : "", "family" : "Kemp", "given" : "Andrew H", "non-dropping-particle" : "", "parse-names" : false, "suffix" : "" }, { "dropping-particle" : "", "family" : "Kengne", "given" : "Andre Pascal", "non-dropping-particle" : "", "parse-names" : false, "suffix" : "" }, { "dropping-particle" : "", "family" : "Keren", "given" : "Andre", "non-dropping-particle" : "", "parse-names" : false, "suffix" : "" }, { "dropping-particle" : "", "family" : "Kereselidze", "given" : "Maia", "non-dropping-particle" : "", "parse-names" : false, "suffix" : "" }, { "dropping-particle" : "", "family" : "Khader", "given" : "Yousef Saleh", "non-dropping-particle" : "", "parse-names" : false, "suffix" : "" }, { "dropping-particle" : "", "family" : "Khalifa", "given" : "Shams Eldin Ali Hassan", "non-dropping-particle" : "", "parse-names" : false, "suffix" : "" }, { "dropping-particle" : "", "family" : "Khan", "given" : "Ejaz Ahmed", "non-dropping-particle" : "", "parse-names" : false, "suffix" : "" }, { "dropping-particle" : "", "family" : "Khang", "given" : "Young-Ho", "non-dropping-particle" : "", "parse-names" : false, "suffix" : "" }, { "dropping-particle" : "", "family" : "Khonelidze", "given" : "Irma", "non-dropping-particle" : "", "parse-names" : false, "suffix" : "" }, { "dropping-particle" : "", "family" : "Kinfu", "given" : "Yohannes", "non-dropping-particle" : "", "parse-names" : false, "suffix" : "" }, { "dropping-particle" : "", "family" : "Kinge", "given" : "Jonas M", "non-dropping-particle" : "", "parse-names" : false, "suffix" : "" }, { "dropping-particle" : "", "family" : "Knibbs", "given" : "Luke", "non-dropping-particle" : "", "parse-names" : false, "suffix" : "" }, { "dropping-particle" : "", "family" : "Kokubo", "given" : "Yoshihiro", "non-dropping-particle" : "", "parse-names" : false, "suffix" : "" }, { "dropping-particle" : "", "family" : "Kosen", "given" : "S", "non-dropping-particle" : "", "parse-names" : false, "suffix" : "" }, { "dropping-particle" : "", "family" : "Defo", "given" : "Barthelemy Kuate", "non-dropping-particle" : "", "parse-names" : false, "suffix" : "" }, { "dropping-particle" : "", "family" : "Kulkarni", "given" : "Veena S", "non-dropping-particle" : "", "parse-names" : false, "suffix" : "" }, { "dropping-particle" : "", "family" : "Kulkarni", "given" : "Chanda", "non-dropping-particle" : "", "parse-names" : false, "suffix" : "" }, { "dropping-particle" : "", "family" : "Kumar", "given" : "Kaushalendra", "non-dropping-particle" : "", "parse-names" : false, "suffix" : "" }, { "dropping-particle" : "", "family" : "Kumar", "given" : "Ravi B", "non-dropping-particle" : "", "parse-names" : false, "suffix" : "" }, { "dropping-particle" : "", "family" : "Kumar", "given" : "G Anil", "non-dropping-particle" : "", "parse-names" : false, "suffix" : "" }, { "dropping-particle" : "", "family" : "Kwan", "given" : "Gene F", "non-dropping-particle" : "", "parse-names" : false, "suffix" : "" }, { "dropping-particle" : "", "family" : "Lai", "given" : "Taavi", "non-dropping-particle" : "", "parse-names" : false, "suffix" : "" }, { "dropping-particle" : "", "family" : "Balaji", "given" : "Arjun Lakshmana", "non-dropping-particle" : "", "parse-names" : false, "suffix" : "" }, { "dropping-particle" : "", "family" : "Lam", "given" : "Hilton", "non-dropping-particle" : "", "parse-names" : false, "suffix" : "" }, { "dropping-particle" : "", "family" : "Lan", "given" : "Qing", "non-dropping-particle" : "", "parse-names" : false, "suffix" : "" }, { "dropping-particle" : "", "family" : "Lansingh", "given" : "Van C", "non-dropping-particle" : "", "parse-names" : false, "suffix" : "" }, { "dropping-particle" : "", "family" : "Larson", "given" : "Heidi J", "non-dropping-particle" : "", "parse-names" : false, "suffix" : "" }, { "dropping-particle" : "", "family" : "Larsson", "given" : "Anders", "non-dropping-particle" : "", "parse-names" : false, "suffix" : "" }, { "dropping-particle" : "", "family" : "Lee", "given" : "Jong-Tae", "non-dropping-particle" : "", "parse-names" : false, "suffix" : "" }, { "dropping-particle" : "", "family" : "Leigh", "given" : "James", "non-dropping-particle" : "", "parse-names" : false, "suffix" : "" }, { "dropping-particle" : "", "family" : "Leinsalu", "given" : "Mall", "non-dropping-particle" : "", "parse-names" : false, "suffix" : "" }, { "dropping-particle" : "", "family" : "Leung", "given" : "Ricky", "non-dropping-particle" : "", "parse-names" : false, "suffix" : "" }, { "dropping-particle" : "", "family" : "Li", "given" : "Yichong", "non-dropping-particle" : "", "parse-names" : false, "suffix" : "" }, { "dropping-particle" : "", "family" : "Li", "given" : "Yongmei", "non-dropping-particle" : "", "parse-names" : false, "suffix" : "" }, { "dropping-particle" : "", "family" : "Lima", "given" : "Gra\u00e7a Maria Ferreira", "non-dropping-particle" : "De", "parse-names" : false, "suffix" : "" }, { "dropping-particle" : "", "family" : "Lin", "given" : "Hsien-Ho", "non-dropping-particle" : "", "parse-names" : false, "suffix" : "" }, { "dropping-particle" : "", "family" : "Lipshultz", "given" : "Steven E", "non-dropping-particle" : "", "parse-names" : false, "suffix" : "" }, { "dropping-particle" : "", "family" : "Liu", "given" : "Shiwei", "non-dropping-particle" : "", "parse-names" : false, "suffix" : "" }, { "dropping-particle" : "", "family" : "Liu", "given" : "Yang", "non-dropping-particle" : "", "parse-names" : false, "suffix" : "" }, { "dropping-particle" : "", "family" : "Lloyd", "given" : "Belinda K", "non-dropping-particle" : "", "parse-names" : false, "suffix" : "" }, { "dropping-particle" : "", "family" : "Lotufo", "given" : "Paulo A", "non-dropping-particle" : "", "parse-names" : false, "suffix" : "" }, { "dropping-particle" : "", "family" : "Machado", "given" : "Vasco Manuel Pedro", "non-dropping-particle" : "", "parse-names" : false, "suffix" : "" }, { "dropping-particle" : "", "family" : "Maclachlan", "given" : "Jennifer H", "non-dropping-particle" : "", "parse-names" : false, "suffix" : "" }, { "dropping-particle" : "", "family" : "Magis-Rodriguez", "given" : "Carlos", "non-dropping-particle" : "", "parse-names" : false, "suffix" : "" }, { "dropping-particle" : "", "family" : "Majdan", "given" : "Marek", "non-dropping-particle" : "", "parse-names" : false, "suffix" : "" }, { "dropping-particle" : "", "family" : "Mapoma", "given" : "Christopher Chabila", "non-dropping-particle" : "", "parse-names" : false, "suffix" : "" }, { "dropping-particle" : "", "family" : "Marcenes", "given" : "Wagner", "non-dropping-particle" : "", "parse-names" : false, "suffix" : "" }, { "dropping-particle" : "", "family" : "Marzan", "given" : "Melvin Barrientos", "non-dropping-particle" : "", "parse-names" : false, "suffix" : "" }, { "dropping-particle" : "", "family" : "Masci", "given" : "Joseph R", "non-dropping-particle" : "", "parse-names" : false, "suffix" : "" }, { "dropping-particle" : "", "family" : "Mashal", "given" : "Mohammad Taufiq", "non-dropping-particle" : "", "parse-names" : false, "suffix" : "" }, { "dropping-particle" : "", "family" : "Mason-Jones", "given" : "Amanda J", "non-dropping-particle" : "", "parse-names" : false, "suffix" : "" }, { "dropping-particle" : "", "family" : "Mayosi", "given" : "Bongani M", "non-dropping-particle" : "", "parse-names" : false, "suffix" : "" }, { "dropping-particle" : "", "family" : "Mazorodze", "given" : "Tasara T", "non-dropping-particle" : "", "parse-names" : false, "suffix" : "" }, { "dropping-particle" : "", "family" : "Mckay", "given" : "Abigail Cecilia", "non-dropping-particle" : "", "parse-names" : false, "suffix" : "" }, { "dropping-particle" : "", "family" : "Meaney", "given" : "Peter A", "non-dropping-particle" : "", "parse-names" : false, "suffix" : "" }, { "dropping-particle" : "", "family" : "Mehndiratta", "given" : "Man Mohan", "non-dropping-particle" : "", "parse-names" : false, "suffix" : "" }, { "dropping-particle" : "", "family" : "Mejia-Rodriguez", "given" : "Fabiola", "non-dropping-particle" : "", "parse-names" : false, "suffix" : "" }, { "dropping-particle" : "", "family" : "Melaku", "given" : "Yohannes Adama", "non-dropping-particle" : "", "parse-names" : false, "suffix" : "" }, { "dropping-particle" : "", "family" : "Memish", "given" : "Ziad A", "non-dropping-particle" : "", "parse-names" : false, "suffix" : "" }, { "dropping-particle" : "", "family" : "Mendoza", "given" : "Walter", "non-dropping-particle" : "", "parse-names" : false, "suffix" : "" }, { "dropping-particle" : "", "family" : "Miller", "given" : "Ted R", "non-dropping-particle" : "", "parse-names" : false, "suffix" : "" }, { "dropping-particle" : "", "family" : "Mills", "given" : "Edward J", "non-dropping-particle" : "", "parse-names" : false, "suffix" : "" }, { "dropping-particle" : "", "family" : "Mohammad", "given" : "Karzan Abdulmuhsin", "non-dropping-particle" : "", "parse-names" : false, "suffix" : "" }, { "dropping-particle" : "", "family" : "Mokdad", "given" : "Ali H", "non-dropping-particle" : "", "parse-names" : false, "suffix" : "" }, { "dropping-particle" : "", "family" : "Mola", "given" : "Glen Liddell", "non-dropping-particle" : "", "parse-names" : false, "suffix" : "" }, { "dropping-particle" : "", "family" : "Monasta", "given" : "Lorenzo", "non-dropping-particle" : "", "parse-names" : false, "suffix" : "" }, { "dropping-particle" : "", "family" : "Montico", "given" : "Marcella", "non-dropping-particle" : "", "parse-names" : false, "suffix" : "" }, { "dropping-particle" : "", "family" : "Moore", "given" : "Ami R", "non-dropping-particle" : "", "parse-names" : false, "suffix" : "" }, { "dropping-particle" : "", "family" : "Mori", "given" : "Rintaro", "non-dropping-particle" : "", "parse-names" : false, "suffix" : "" }, { "dropping-particle" : "", "family" : "Moturi", "given" : "Wilkister Nyaora", "non-dropping-particle" : "", "parse-names" : false, "suffix" : "" }, { "dropping-particle" : "", "family" : "Mukaigawara", "given" : "Mitsuru", "non-dropping-particle" : "", "parse-names" : false, "suffix" : "" }, { "dropping-particle" : "", "family" : "Murthy", "given" : "Kinnari S", "non-dropping-particle" : "", "parse-names" : false, "suffix" : "" }, { "dropping-particle" : "", "family" : "Naheed", "given" : "Aliya", "non-dropping-particle" : "", "parse-names" : false, "suffix" : "" }, { "dropping-particle" : "", "family" : "Naidoo", "given" : "Kovin S", "non-dropping-particle" : "", "parse-names" : false, "suffix" : "" }, { "dropping-particle" : "", "family" : "Naldi", "given" : "Luigi", "non-dropping-particle" : "", "parse-names" : false, "suffix" : "" }, { "dropping-particle" : "", "family" : "Nangia", "given" : "Vinay", "non-dropping-particle" : "", "parse-names" : false, "suffix" : "" }, { "dropping-particle" : "", "family" : "Narayan", "given" : "K M Venkat", "non-dropping-particle" : "", "parse-names" : false, "suffix" : "" }, { "dropping-particle" : "", "family" : "Nash", "given" : "Denis", "non-dropping-particle" : "", "parse-names" : false, "suffix" : "" }, { "dropping-particle" : "", "family" : "Nejjari", "given" : "Chakib", "non-dropping-particle" : "", "parse-names" : false, "suffix" : "" }, { "dropping-particle" : "", "family" : "Nelson", "given" : "Robert G", "non-dropping-particle" : "", "parse-names" : false, "suffix" : "" }, { "dropping-particle" : "", "family" : "Neupane", "given" : "Sudan Prasad", "non-dropping-particle" : "", "parse-names" : false, "suffix" : "" }, { "dropping-particle" : "", "family" : "Newton", "given" : "Charles R", "non-dropping-particle" : "", "parse-names" : false, "suffix" : "" }, { "dropping-particle" : "", "family" : "Ng", "given" : "Marie", "non-dropping-particle" : "", "parse-names" : false, "suffix" : "" }, { "dropping-particle" : "", "family" : "Nisar", "given" : "Muhammad Imran", "non-dropping-particle" : "", "parse-names" : false, "suffix" : "" }, { "dropping-particle" : "", "family" : "Nolte", "given" : "Sandra", "non-dropping-particle" : "", "parse-names" : false, "suffix" : "" }, { "dropping-particle" : "", "family" : "Norheim", "given" : "Ole F", "non-dropping-particle" : "", "parse-names" : false, "suffix" : "" }, { "dropping-particle" : "", "family" : "Nowaseb", "given" : "Vincent", "non-dropping-particle" : "", "parse-names" : false, "suffix" : "" }, { "dropping-particle" : "", "family" : "Nyakarahuka", "given" : "Luke", "non-dropping-particle" : "", "parse-names" : false, "suffix" : "" }, { "dropping-particle" : "", "family" : "Oh", "given" : "In-Hwan", "non-dropping-particle" : "", "parse-names" : false, "suffix" : "" }, { "dropping-particle" : "", "family" : "Ohkubo", "given" : "Takayoshi", "non-dropping-particle" : "", "parse-names" : false, "suffix" : "" }, { "dropping-particle" : "", "family" : "Olusanya", "given" : "Bolajoko O", "non-dropping-particle" : "", "parse-names" : false, "suffix" : "" }, { "dropping-particle" : "", "family" : "Omer", "given" : "Saad B", "non-dropping-particle" : "", "parse-names" : false, "suffix" : "" }, { "dropping-particle" : "", "family" : "Opio", "given" : "John Nelson", "non-dropping-particle" : "", "parse-names" : false, "suffix" : "" }, { "dropping-particle" : "", "family" : "Orisakwe", "given" : "Orish Ebere", "non-dropping-particle" : "", "parse-names" : false, "suffix" : "" }, { "dropping-particle" : "", "family" : "Pandian", "given" : "Jeyaraj D", "non-dropping-particle" : "", "parse-names" : false, "suffix" : "" }, { "dropping-particle" : "", "family" : "Papachristou", "given" : "Christina", "non-dropping-particle" : "", "parse-names" : false, "suffix" : "" }, { "dropping-particle" : "", "family" : "Caicedo", "given" : "Angel J Paternina", "non-dropping-particle" : "", "parse-names" : false, "suffix" : "" }, { "dropping-particle" : "", "family" : "Patten", "given" : "Scott B", "non-dropping-particle" : "", "parse-names" : false, "suffix" : "" }, { "dropping-particle" : "", "family" : "Paul", "given" : "Vinod K", "non-dropping-particle" : "", "parse-names" : false, "suffix" : "" }, { "dropping-particle" : "", "family" : "Pavlin", "given" : "Boris Igor", "non-dropping-particle" : "", "parse-names" : false, "suffix" : "" }, { "dropping-particle" : "", "family" : "Pearce", "given" : "Neil", "non-dropping-particle" : "", "parse-names" : false, "suffix" : "" }, { "dropping-particle" : "", "family" : "Pereira", "given" : "David M", "non-dropping-particle" : "", "parse-names" : false, "suffix" : "" }, { "dropping-particle" : "", "family" : "Pervaiz", "given" : "Aslam", "non-dropping-particle" : "", "parse-names" : false, "suffix" : "" }, { "dropping-particle" : "", "family" : "Pesudovs", "given" : "Konrad", "non-dropping-particle" : "", "parse-names" : false, "suffix" : "" }, { "dropping-particle" : "", "family" : "Petzold", "given" : "Max", "non-dropping-particle" : "", "parse-names" : false, "suffix" : "" }, { "dropping-particle" : "", "family" : "Pourmalek", "given" : "Farshad", "non-dropping-particle" : "", "parse-names" : false, "suffix" : "" }, { "dropping-particle" : "", "family" : "Qato", "given" : "Dima", "non-dropping-particle" : "", "parse-names" : false, "suffix" : "" }, { "dropping-particle" : "", "family" : "Quezada", "given" : "Amado D", "non-dropping-particle" : "", "parse-names" : false, "suffix" : "" }, { "dropping-particle" : "", "family" : "Quistberg", "given" : "D Alex", "non-dropping-particle" : "", "parse-names" : false, "suffix" : "" }, { "dropping-particle" : "", "family" : "Rafay", "given" : "Anwar", "non-dropping-particle" : "", "parse-names" : false, "suffix" : "" }, { "dropping-particle" : "", "family" : "Rahimi", "given" : "Kazem", "non-dropping-particle" : "", "parse-names" : false, "suffix" : "" }, { "dropping-particle" : "", "family" : "Rahimi-Movaghar", "given" : "Vafa", "non-dropping-particle" : "", "parse-names" : false, "suffix" : "" }, { "dropping-particle" : "", "family" : "Ur Rahman", "given" : "Sajjad", "non-dropping-particle" : "", "parse-names" : false, "suffix" : "" }, { "dropping-particle" : "", "family" : "Raju", "given" : "Murugesan", "non-dropping-particle" : "", "parse-names" : false, "suffix" : "" }, { "dropping-particle" : "", "family" : "Rana", "given" : "Saleem M", "non-dropping-particle" : "", "parse-names" : false, "suffix" : "" }, { "dropping-particle" : "", "family" : "Razavi", "given" : "Homie", "non-dropping-particle" : "", "parse-names" : false, "suffix" : "" }, { "dropping-particle" : "", "family" : "Reilly", "given" : "Robert Quentin", "non-dropping-particle" : "", "parse-names" : false, "suffix" : "" }, { "dropping-particle" : "", "family" : "Remuzzi", "given" : "Giuseppe", "non-dropping-particle" : "", "parse-names" : false, "suffix" : "" }, { "dropping-particle" : "", "family" : "Richardus", "given" : "Jan Hendrik", "non-dropping-particle" : "", "parse-names" : false, "suffix" : "" }, { "dropping-particle" : "", "family" : "Ronfani", "given" : "Luca", "non-dropping-particle" : "", "parse-names" : false, "suffix" : "" }, { "dropping-particle" : "", "family" : "Roy", "given" : "Nobhojit", "non-dropping-particle" : "", "parse-names" : false, "suffix" : "" }, { "dropping-particle" : "", "family" : "Sabin", "given" : "Nsanzimana", "non-dropping-particle" : "", "parse-names" : false, "suffix" : "" }, { "dropping-particle" : "", "family" : "Saeedi", "given" : "Mohammad Yahya", "non-dropping-particle" : "", "parse-names" : false, "suffix" : "" }, { "dropping-particle" : "", "family" : "Sahraian", "given" : "Mohammad Ali", "non-dropping-particle" : "", "parse-names" : false, "suffix" : "" }, { "dropping-particle" : "", "family" : "Samonte", "given" : "Genesis May J", "non-dropping-particle" : "", "parse-names" : false, "suffix" : "" }, { "dropping-particle" : "", "family" : "Sawhney", "given" : "Monika", "non-dropping-particle" : "", "parse-names" : false, "suffix" : "" }, { "dropping-particle" : "", "family" : "Schneider", "given" : "Ione J C", "non-dropping-particle" : "", "parse-names" : false, "suffix" : "" }, { "dropping-particle" : "", "family" : "Schwebel", "given" : "David C", "non-dropping-particle" : "", "parse-names" : false, "suffix" : "" }, { "dropping-particle" : "", "family" : "Seedat", "given" : "Soraya", "non-dropping-particle" : "", "parse-names" : false, "suffix" : "" }, { "dropping-particle" : "", "family" : "Sepanlou", "given" : "Sadaf G", "non-dropping-particle" : "", "parse-names" : false, "suffix" : "" }, { "dropping-particle" : "", "family" : "Servan-Mori", "given" : "Edson E", "non-dropping-particle" : "", "parse-names" : false, "suffix" : "" }, { "dropping-particle" : "", "family" : "Sheikhbahaei", "given" : "Sara", "non-dropping-particle" : "", "parse-names" : false, "suffix" : "" }, { "dropping-particle" : "", "family" : "Shibuya", "given" : "Kenji", "non-dropping-particle" : "", "parse-names" : false, "suffix" : "" }, { "dropping-particle" : "", "family" : "Shin", "given" : "Hwashin Hyun", "non-dropping-particle" : "", "parse-names" : false, "suffix" : "" }, { "dropping-particle" : "", "family" : "Shiue", "given" : "Ivy", "non-dropping-particle" : "", "parse-names" : false, "suffix" : "" }, { "dropping-particle" : "", "family" : "Shivakoti", "given" : "Rupak", "non-dropping-particle" : "", "parse-names" : false, "suffix" : "" }, { "dropping-particle" : "", "family" : "Sigfusdottir", "given" : "Inga Dora", "non-dropping-particle" : "", "parse-names" : false, "suffix" : "" }, { "dropping-particle" : "", "family" : "Silberberg", "given" : "Donald H", "non-dropping-particle" : "", "parse-names" : false, "suffix" : "" }, { "dropping-particle" : "", "family" : "Silva", "given" : "Andrea P", "non-dropping-particle" : "", "parse-names" : false, "suffix" : "" }, { "dropping-particle" : "", "family" : "Simard", "given" : "Edgar P", "non-dropping-particle" : "", "parse-names" : false, "suffix" : "" }, { "dropping-particle" : "", "family" : "Singh", "given" : "Jasvinder A", "non-dropping-particle" : "", "parse-names" : false, "suffix" : "" }, { "dropping-particle" : "", "family" : "Skirbekk", "given" : "Vegard", "non-dropping-particle" : "", "parse-names" : false, "suffix" : "" }, { "dropping-particle" : "", "family" : "Sliwa", "given" : "Karen", "non-dropping-particle" : "", "parse-names" : false, "suffix" : "" }, { "dropping-particle" : "", "family" : "Soneji", "given" : "Samir", "non-dropping-particle" : "", "parse-names" : false, "suffix" : "" }, { "dropping-particle" : "", "family" : "Soshnikov", "given" : "Sergey S", "non-dropping-particle" : "", "parse-names" : false, "suffix" : "" }, { "dropping-particle" : "", "family" : "Sreeramareddy", "given" : "Chandrashekhar T", "non-dropping-particle" : "", "parse-names" : false, "suffix" : "" }, { "dropping-particle" : "", "family" : "Stathopoulou", "given" : "Vasiliki Kalliopi", "non-dropping-particle" : "", "parse-names" : false, "suffix" : "" }, { "dropping-particle" : "", "family" : "Stroumpoulis", "given" : "Konstantinos", "non-dropping-particle" : "", "parse-names" : false, "suffix" : "" }, { "dropping-particle" : "", "family" : "Swaminathan", "given" : "Soumya", "non-dropping-particle" : "", "parse-names" : false, "suffix" : "" }, { "dropping-particle" : "", "family" : "Sykes", "given" : "Bryan L", "non-dropping-particle" : "", "parse-names" : false, "suffix" : "" }, { "dropping-particle" : "", "family" : "Tabb", "given" : "Karen M", "non-dropping-particle" : "", "parse-names" : false, "suffix" : "" }, { "dropping-particle" : "", "family" : "Talongwa", "given" : "Roberto Tchio", "non-dropping-particle" : "", "parse-names" : false, "suffix" : "" }, { "dropping-particle" : "", "family" : "Tenkorang", "given" : "Eric Yeboah", "non-dropping-particle" : "", "parse-names" : false, "suffix" : "" }, { "dropping-particle" : "", "family" : "Terkawi", "given" : "Abdullah Sulieman", "non-dropping-particle" : "", "parse-names" : false, "suffix" : "" }, { "dropping-particle" : "", "family" : "Thomson", "given" : "Alan J", "non-dropping-particle" : "", "parse-names" : false, "suffix" : "" }, { "dropping-particle" : "", "family" : "Thorne-Lyman", "given" : "Andrew L", "non-dropping-particle" : "", "parse-names" : false, "suffix" : "" }, { "dropping-particle" : "", "family" : "Towbin", "given" : "Jeffrey A", "non-dropping-particle" : "", "parse-names" : false, "suffix" : "" }, { "dropping-particle" : "", "family" : "Traebert", "given" : "Jefferson", "non-dropping-particle" : "", "parse-names" : false, "suffix" : "" }, { "dropping-particle" : "", "family" : "Tran", "given" : "Bach X", "non-dropping-particle" : "", "parse-names" : false, "suffix" : "" }, { "dropping-particle" : "", "family" : "Dimbuene", "given" : "Zacharie Tsala", "non-dropping-particle" : "", "parse-names" : false, "suffix" : "" }, { "dropping-particle" : "", "family" : "Tsilimbaris", "given" : "Miltiadis", "non-dropping-particle" : "", "parse-names" : false, "suffix" : "" }, { "dropping-particle" : "", "family" : "Uchendu", "given" : "Uche S", "non-dropping-particle" : "", "parse-names" : false, "suffix" : "" }, { "dropping-particle" : "", "family" : "Ukwaja", "given" : "Kingsley N", "non-dropping-particle" : "", "parse-names" : false, "suffix" : "" }, { "dropping-particle" : "", "family" : "Uzun", "given" : "Selen Beg\u00fcm", "non-dropping-particle" : "", "parse-names" : false, "suffix" : "" }, { "dropping-particle" : "", "family" : "Vallely", "given" : "Andrew J", "non-dropping-particle" : "", "parse-names" : false, "suffix" : "" }, { "dropping-particle" : "", "family" : "Vasankari", "given" : "Tommi J", "non-dropping-particle" : "", "parse-names" : false, "suffix" : "" }, { "dropping-particle" : "", "family" : "Venketasubramanian", "given" : "N", "non-dropping-particle" : "", "parse-names" : false, "suffix" : "" }, { "dropping-particle" : "", "family" : "Violante", "given" : "Francesco S", "non-dropping-particle" : "", "parse-names" : false, "suffix" : "" }, { "dropping-particle" : "", "family" : "Vlassov", "given" : "Vasiliy Victorovich", "non-dropping-particle" : "", "parse-names" : false, "suffix" : "" }, { "dropping-particle" : "", "family" : "Vollset", "given" : "Stein Emil", "non-dropping-particle" : "", "parse-names" : false, "suffix" : "" }, { "dropping-particle" : "", "family" : "Waller", "given" : "Stephen", "non-dropping-particle" : "", "parse-names" : false, "suffix" : "" }, { "dropping-particle" : "", "family" : "Wallin", "given" : "Mitchell T", "non-dropping-particle" : "", "parse-names" : false, "suffix" : "" }, { "dropping-particle" : "", "family" : "Wang", "given" : "Linhong", "non-dropping-particle" : "", "parse-names" : false, "suffix" : "" }, { "dropping-particle" : "", "family" : "Wang", "given" : "XiaoRong", "non-dropping-particle" : "", "parse-names" : false, "suffix" : "" }, { "dropping-particle" : "", "family" : "Wang", "given" : "Yanping", "non-dropping-particle" : "", "parse-names" : false, "suffix" : "" }, { "dropping-particle" : "", "family" : "Weichenthal", "given" : "Scott", "non-dropping-particle" : "", "parse-names" : false, "suffix" : "" }, { "dropping-particle" : "", "family" : "Weiderpass", "given" : "Elisabete", "non-dropping-particle" : "", "parse-names" : false, "suffix" : "" }, { "dropping-particle" : "", "family" : "Weintraub", "given" : "Robert G", "non-dropping-particle" : "", "parse-names" : false, "suffix" : "" }, { "dropping-particle" : "", "family" : "Westerman", "given" : "Ronny", "non-dropping-particle" : "", "parse-names" : false, "suffix" : "" }, { "dropping-particle" : "", "family" : "White", "given" : "Richard A", "non-dropping-particle" : "", "parse-names" : false, "suffix" : "" }, { "dropping-particle" : "", "family" : "Wilkinson", "given" : "James D", "non-dropping-particle" : "", "parse-names" : false, "suffix" : "" }, { "dropping-particle" : "", "family" : "Williams", "given" : "Thomas Neil", "non-dropping-particle" : "", "parse-names" : false, "suffix" : "" }, { "dropping-particle" : "", "family" : "Woldeyohannes", "given" : "Solomon Meseret", "non-dropping-particle" : "", "parse-names" : false, "suffix" : "" }, { "dropping-particle" : "", "family" : "Wong", "given" : "John Q", "non-dropping-particle" : "", "parse-names" : false, "suffix" : "" }, { "dropping-particle" : "", "family" : "Xu", "given" : "Gelin", "non-dropping-particle" : "", "parse-names" : false, "suffix" : "" }, { "dropping-particle" : "", "family" : "Yang", "given" : "Yang C", "non-dropping-particle" : "", "parse-names" : false, "suffix" : "" }, { "dropping-particle" : "", "family" : "Yano", "given" : "Yuichiro", "non-dropping-particle" : "", "parse-names" : false, "suffix" : "" }, { "dropping-particle" : "", "family" : "Yentur", "given" : "Gokalp Kadri", "non-dropping-particle" : "", "parse-names" : false, "suffix" : "" }, { "dropping-particle" : "", "family" : "Yip", "given" : "Paul", "non-dropping-particle" : "", "parse-names" : false, "suffix" : "" }, { "dropping-particle" : "", "family" : "Yonemoto", "given" : "Naohiro", "non-dropping-particle" : "", "parse-names" : false, "suffix" : "" }, { "dropping-particle" : "", "family" : "Yoon", "given" : "Seok-Jun", "non-dropping-particle" : "", "parse-names" : false, "suffix" : "" }, { "dropping-particle" : "", "family" : "Younis", "given" : "Mustafa", "non-dropping-particle" : "", "parse-names" : false, "suffix" : "" }, { "dropping-particle" : "", "family" : "Yu", "given" : "Chuanhua", "non-dropping-particle" : "", "parse-names" : false, "suffix" : "" }, { "dropping-particle" : "", "family" : "Jin", "given" : "Kim Yun", "non-dropping-particle" : "", "parse-names" : false, "suffix" : "" }, { "dropping-particle" : "", "family" : "Sayed Zaki", "given" : "Maysaa", "non-dropping-particle" : "El", "parse-names" : false, "suffix" : "" }, { "dropping-particle" : "", "family" : "Zhao", "given" : "Yong", "non-dropping-particle" : "", "parse-names" : false, "suffix" : "" }, { "dropping-particle" : "", "family" : "Zheng", "given" : "Yingfeng", "non-dropping-particle" : "", "parse-names" : false, "suffix" : "" }, { "dropping-particle" : "", "family" : "Zhou", "given" : "Maigeng", "non-dropping-particle" : "", "parse-names" : false, "suffix" : "" }, { "dropping-particle" : "", "family" : "Zhu", "given" : "Jun", "non-dropping-particle" : "", "parse-names" : false, "suffix" : "" }, { "dropping-particle" : "", "family" : "Zou", "given" : "Xiao Nong", "non-dropping-particle" : "", "parse-names" : false, "suffix" : "" }, { "dropping-particle" : "", "family" : "Lopez", "given" : "Alan D", "non-dropping-particle" : "", "parse-names" : false, "suffix" : "" }, { "dropping-particle" : "", "family" : "Vos", "given" : "Theo", "non-dropping-particle" : "", "parse-names" : false, "suffix" : "" } ], "container-title" : "Lancet (London, England)", "id" : "ITEM-2", "issue" : "9947", "issued" : { "date-parts" : [ [ "2014", "9", "13" ] ] }, "page" : "1005-70", "publisher" : "Europe PMC Funders", "title" : "Global, regional, and national incidence and mortality for HIV, tuberculosis, and malaria during 1990-2013: a systematic analysis for the Global Burden of Disease Study 2013.", "type" : "article-journal", "volume" : "384" }, "uris" : [ "http://www.mendeley.com/documents/?uuid=3245ad68-1066-3a24-8e8a-1e9e5185c024" ] } ], "mendeley" : { "formattedCitation" : "(Farlow, 2016; Murray et al., 2014)", "plainTextFormattedCitation" : "(Farlow, 2016; Murray et al., 2014)", "previouslyFormattedCitation" : "(Farlow, 2016; Murray et al., 2014)" }, "properties" : {  }, "schema" : "https://github.com/citation-style-language/schema/raw/master/csl-citation.json" }</w:instrText>
      </w:r>
      <w:r>
        <w:fldChar w:fldCharType="separate"/>
      </w:r>
      <w:bookmarkStart w:id="7" w:name="__Fieldmark__473_513475976"/>
      <w:r>
        <w:rPr>
          <w:rFonts w:ascii="Calibri" w:hAnsi="Calibri" w:asciiTheme="majorHAnsi" w:hAnsiTheme="majorHAnsi"/>
          <w:lang w:val="en-GB"/>
        </w:rPr>
        <w:t>(</w:t>
      </w:r>
      <w:bookmarkStart w:id="8" w:name="__Fieldmark__2095_903549581"/>
      <w:r>
        <w:rPr>
          <w:rFonts w:ascii="Calibri" w:hAnsi="Calibri" w:asciiTheme="majorHAnsi" w:hAnsiTheme="majorHAnsi"/>
          <w:lang w:val="en-GB"/>
        </w:rPr>
        <w:t>Farlow, 2016; Murray et al., 2014)</w:t>
      </w:r>
      <w:r>
        <w:rPr>
          <w:rFonts w:ascii="Calibri" w:hAnsi="Calibri" w:asciiTheme="majorHAnsi" w:hAnsiTheme="majorHAnsi"/>
          <w:lang w:val="en-GB"/>
        </w:rPr>
      </w:r>
      <w:r>
        <w:fldChar w:fldCharType="end"/>
      </w:r>
      <w:bookmarkEnd w:id="7"/>
      <w:bookmarkEnd w:id="8"/>
      <w:r>
        <w:rPr>
          <w:rFonts w:ascii="Calibri" w:hAnsi="Calibri" w:asciiTheme="majorHAnsi" w:hAnsiTheme="majorHAnsi"/>
          <w:lang w:val="en-GB"/>
        </w:rPr>
        <w:t xml:space="preserve">. This is not only the case </w:t>
      </w:r>
      <w:del w:id="88" w:author="Unknown Author" w:date="2018-04-12T10:31:00Z">
        <w:r>
          <w:rPr>
            <w:rFonts w:ascii="Calibri" w:hAnsi="Calibri" w:asciiTheme="majorHAnsi" w:hAnsiTheme="majorHAnsi"/>
            <w:lang w:val="en-GB"/>
          </w:rPr>
          <w:delText>of</w:delText>
        </w:r>
      </w:del>
      <w:ins w:id="89"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high-income countries (HICs) but also </w:t>
      </w:r>
      <w:del w:id="90" w:author="Unknown Author" w:date="2018-04-12T10:31:00Z">
        <w:r>
          <w:rPr>
            <w:rFonts w:ascii="Calibri" w:hAnsi="Calibri" w:asciiTheme="majorHAnsi" w:hAnsiTheme="majorHAnsi"/>
            <w:lang w:val="en-GB"/>
          </w:rPr>
          <w:delText>of</w:delText>
        </w:r>
      </w:del>
      <w:ins w:id="91" w:author="Unknown Author" w:date="2018-04-12T10:31:00Z">
        <w:r>
          <w:rPr>
            <w:rFonts w:ascii="Calibri" w:hAnsi="Calibri" w:asciiTheme="majorHAnsi" w:hAnsiTheme="majorHAnsi"/>
            <w:lang w:val="en-GB"/>
          </w:rPr>
          <w:t>in</w:t>
        </w:r>
      </w:ins>
      <w:r>
        <w:rPr>
          <w:rFonts w:ascii="Calibri" w:hAnsi="Calibri" w:asciiTheme="majorHAnsi" w:hAnsiTheme="majorHAnsi"/>
          <w:lang w:val="en-GB"/>
        </w:rPr>
        <w:t xml:space="preserve"> middle-income countries (MICs), such as North African countries, where non-communicable diseases represent between 60% and 79% of the total burden in terms of disability-adjusted life years (DALYs) </w:t>
      </w:r>
      <w:r>
        <w:fldChar w:fldCharType="begin"/>
      </w:r>
      <w:r>
        <w:instrText>ADDIN CSL_CITATION { "citationItems" : [ { "id" : "ITEM-1", "itemData" : { "ISBN" : "9780984091089",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Middle East and North Africa Regional Edition", "type" : "book" }, "uris" : [ "http://www.mendeley.com/documents/?uuid=1b5f39f2-51d3-429a-9dea-0b9c3fae82cd" ] } ], "mendeley" : { "formattedCitation" : "(Institute for Health Metrics and Evaluation and the International Centre for Humanitarian Affairs, 2016a)", "plainTextFormattedCitation" : "(Institute for Health Metrics and Evaluation and the International Centre for Humanitarian Affairs, 2016a)", "previouslyFormattedCitation" : "(Institute for Health Metrics and Evaluation and the International Centre for Humanitarian Affairs, 2016a)" }, "properties" : {  }, "schema" : "https://github.com/citation-style-language/schema/raw/master/csl-citation.json" }</w:instrText>
      </w:r>
      <w:r>
        <w:fldChar w:fldCharType="separate"/>
      </w:r>
      <w:bookmarkStart w:id="9" w:name="__Fieldmark__480_513475976"/>
      <w:r>
        <w:rPr>
          <w:rFonts w:ascii="Calibri" w:hAnsi="Calibri" w:asciiTheme="majorHAnsi" w:hAnsiTheme="majorHAnsi"/>
          <w:lang w:val="en-GB"/>
        </w:rPr>
        <w:t>(</w:t>
      </w:r>
      <w:bookmarkStart w:id="10" w:name="__Fieldmark__2116_903549581"/>
      <w:r>
        <w:rPr>
          <w:rFonts w:ascii="Calibri" w:hAnsi="Calibri" w:asciiTheme="majorHAnsi" w:hAnsiTheme="majorHAnsi"/>
          <w:lang w:val="en-GB"/>
        </w:rPr>
        <w:t>Institute for Health Metrics and Evaluation and the International Centre for Humanitarian Affairs, 2016a)</w:t>
      </w:r>
      <w:r>
        <w:rPr>
          <w:rFonts w:ascii="Calibri" w:hAnsi="Calibri" w:asciiTheme="majorHAnsi" w:hAnsiTheme="majorHAnsi"/>
          <w:lang w:val="en-GB"/>
        </w:rPr>
      </w:r>
      <w:r>
        <w:fldChar w:fldCharType="end"/>
      </w:r>
      <w:bookmarkEnd w:id="9"/>
      <w:bookmarkEnd w:id="10"/>
      <w:r>
        <w:rPr>
          <w:rFonts w:ascii="Calibri" w:hAnsi="Calibri" w:asciiTheme="majorHAnsi" w:hAnsiTheme="majorHAnsi"/>
          <w:lang w:val="en-GB"/>
        </w:rPr>
        <w:t xml:space="preserve">. Such transition has already started in low-income countries (LICs), including Sub-Saharan Africa, the region with the highest burden of infectious diseases </w:t>
      </w:r>
      <w:r>
        <w:fldChar w:fldCharType="begin"/>
      </w:r>
      <w:r>
        <w:instrText>ADDIN CSL_CITATION { "citationItems" : [ { "id" : "ITEM-1", "itemData" : { "DOI" : "10.1016/S0140-6736(16)31460-X", "ISBN" : "2214-109X (Electronic)\\r2214-109X (Linking)", "ISSN" : "1474547X", "PMID" : "26475004", "abstract" : "Background Healthy life expectancy (HALE) and disability-adjusted life-years (DALYs) provide summary measures of health across geographies and time that can inform assessments of epidemiological patterns and health system performance, help to prioritise investments in research and development, and monitor progress toward the Sustainable Development Goals (SDGs). We aimed to provide updated HALE and DALYs for geographies worldwide and evaluate how disease burden changes with development. Methods We used results from the Global Burden of Diseases, Injuries, and Risk Factors Study 2015 (GBD 2015) for all-cause mortality, cause-specific mortality, and non-fatal disease burden to derive HALE and DALYs by sex for 195 countries and territories from 1990 to 2015. We calculated DALYs by summing years of life lost (YLLs) and years of life lived with disability (YLDs) for each geography, age group, sex, and year. We estimated HALE using the Sullivan method, which draws from age-specific death rates and YLDs per capita. We then assessed how observed levels of DALYs and HALE differed from expected trends calculated with the Socio-demographic Index (SDI), a composite indicator constructed from measures of income per capita, average years of schooling, and total fertility rate. Findings Total global DALYs remained largely unchanged from 1990 to 2015, with decreases in communicable, neonatal, maternal, and nutritional (Group 1) disease DALYs offset by increased DALYs due to non-communicable diseases (NCDs). Much of this epidemiological transition was caused by changes in population growth and ageing, but it was accelerated by widespread improvements in SDI that also correlated strongly with the increasing importance of NCDs. Both total DALYs and age-standardised DALY rates due to most Group 1 causes significantly decreased by 2015, and although total burden climbed for the majority of NCDs, age-standardised DALY rates due to NCDs declined. Nonetheless, age-standardised DALY rates due to several high-burden NCDs (including osteoarthritis, drug use disorders, depression, diabetes, congenital birth defects, and skin, oral, and sense organ diseases) either increased or remained unchanged, leading to increases in their relative ranking in many geographies. From 2005 to 2015, HALE at birth increased by an average of 2\u00b79 years (95% uncertainty interval 2\u00b79\u20133\u00b70) for men and 3\u00b75 years (3\u00b74\u20133\u00b77) for women, while HALE at age 65 years improved by 0\u00b785 years (0\u00b778\u20130\u00b792) and 1\u00b72 yea\u2026", "author" : [ { "dropping-particle" : "", "family" : "Kassebaum", "given" : "N. J.", "non-dropping-particle" : "", "parse-names" : false, "suffix" : "" }, { "dropping-particle" : "", "family" : "Arora", "given" : "M.", "non-dropping-particle" : "", "parse-names" : false, "suffix" : "" }, { "dropping-particle" : "", "family" : "Barber", "given" : "R. M.", "non-dropping-particle" : "", "parse-names" : false, "suffix" : "" }, { "dropping-particle" : "", "family" : "Brown", "given" : "J.", "non-dropping-particle" : "", "parse-names" : false, "suffix" : "" }, { "dropping-particle" : "", "family" : "Carter", "given" : "A.", "non-dropping-particle" : "", "parse-names" : false, "suffix" : "" }, { "dropping-particle" : "", "family" : "Casey", "given" : "D. C.", "non-dropping-particle" : "", "parse-names" : false, "suffix" : "" }, { "dropping-particle" : "", "family" : "Charlson", "given" : "F. J.", "non-dropping-particle" : "", "parse-names" : false, "suffix" : "" }, { "dropping-particle" : "", "family" : "Coates", "given" : "M. M.", "non-dropping-particle" : "", "parse-names" : false, "suffix" : "" }, { "dropping-particle" : "", "family" : "Coggeshall", "given" : "M.", "non-dropping-particle" : "", "parse-names" : false, "suffix" : "" }, { "dropping-particle" : "", "family" : "Cornaby", "given" : "L.", "non-dropping-particle" : "", "parse-names" : false, "suffix" : "" }, { "dropping-particle" : "", "family" : "Dandona", "given" : "L.", "non-dropping-particle" : "", "parse-names" : false, "suffix" : "" }, { "dropping-particle" : "", "family" : "Dicker", "given" : "D. J.", "non-dropping-particle" : "", "parse-names" : false, "suffix" : "" }, { "dropping-particle" : "", "family" : "Erskine", "given" : "H. E.", "non-dropping-particle" : "", "parse-names" : false, "suffix" : "" }, { "dropping-particle" : "", "family" : "Ferrari", "given" : "A. J.", "non-dropping-particle" : "", "parse-names" : false, "suffix" : "" }, { "dropping-particle" : "", "family" : "Fitzmaurice", "given" : "C.", "non-dropping-particle" : "", "parse-names" : false, "suffix" : "" }, { "dropping-particle" : "", "family" : "Foreman", "given" : "K.", "non-dropping-particle" : "", "parse-names" : false, "suffix" : "" }, { "dropping-particle" : "", "family" : "Forouzanfar", "given" : "M. H.", "non-dropping-particle" : "", "parse-names" : false, "suffix" : "" }, { "dropping-particle" : "", "family" : "Fullman", "given" : "N.", "non-dropping-particle" : "", "parse-names" : false, "suffix" : "" }, { "dropping-particle" : "", "family" : "Goldberg", "given" : "E. M.", "non-dropping-particle" : "", "parse-names" : false, "suffix" : "" }, { "dropping-particle" : "", "family" : "Graetz", "given" : "N.", "non-dropping-particle" : "", "parse-names" : false, "suffix" : "" }, { "dropping-particle" : "", "family" : "Haagsma", "given" : "J. A.", "non-dropping-particle" : "", "parse-names" : false, "suffix" : "" }, { "dropping-particle" : "", "family" : "Hay", "given" : "S. I.", "non-dropping-particle" : "", "parse-names" : false, "suffix" : "" }, { "dropping-particle" : "", "family" : "Johnson", "given" : "C. O.", "non-dropping-particle" : "", "parse-names" : false, "suffix" : "" }, { "dropping-particle" : "", "family" : "Kemmer", "given" : "L.", "non-dropping-particle" : "", "parse-names" : false, "suffix" : "" }, { "dropping-particle" : "", "family" : "Khalil", "given" : "I. A.", "non-dropping-particle" : "", "parse-names" : false, "suffix" : "" }, { "dropping-particle" : "", "family" : "Kinfu", "given" : "Y.", "non-dropping-particle" : "", "parse-names" : false, "suffix" : "" }, { "dropping-particle" : "", "family" : "Kutz", "given" : "M. J.", "non-dropping-particle" : "", "parse-names" : false, "suffix" : "" }, { "dropping-particle" : "", "family" : "Kyu", "given" : "H. H.", "non-dropping-particle" : "", "parse-names" : false, "suffix" : "" }, { "dropping-particle" : "", "family" : "Leung", "given" : "J.", "non-dropping-particle" : "", "parse-names" : false, "suffix" : "" }, { "dropping-particle" : "", "family" : "Lim", "given" : "S. S.", "non-dropping-particle" : "", "parse-names" : false, "suffix" : "" }, { "dropping-particle" : "", "family" : "Lozano", "given" : "R.", "non-dropping-particle" : "", "parse-names" : false, "suffix" : "" }, { "dropping-particle" : "", "family" : "Mikesell", "given" : "J.", "non-dropping-particle" : "", "parse-names" : false, "suffix" : "" }, { "dropping-particle" : "", "family" : "Mokdad", "given" : "A. H.", "non-dropping-particle" : "", "parse-names" : false, "suffix" : "" }, { "dropping-particle" : "", "family" : "Mooney", "given" : "M. D.", "non-dropping-particle" : "", "parse-names" : false, "suffix" : "" }, { "dropping-particle" : "", "family" : "Naghavi", "given" : "M.", "non-dropping-particle" : "", "parse-names" : false, "suffix" : "" }, { "dropping-particle" : "", "family" : "Nguyen", "given" : "G.", "non-dropping-particle" : "", "parse-names" : false, "suffix" : "" }, { "dropping-particle" : "", "family" : "Nsoesie", "given" : "E.", "non-dropping-particle" : "", "parse-names" : false, "suffix" : "" }, { "dropping-particle" : "", "family" : "Pigott", "given" : "D. M.", "non-dropping-particle" : "", "parse-names" : false, "suffix" : "" }, { "dropping-particle" : "", "family" : "Pinho", "given" : "C.", "non-dropping-particle" : "", "parse-names" : false, "suffix" : "" }, { "dropping-particle" : "", "family" : "Rankin", "given" : "Z.", "non-dropping-particle" : "", "parse-names" : false, "suffix" : "" }, { "dropping-particle" : "", "family" : "Reinig", "given" : "N.", "non-dropping-particle" : "", "parse-names" : false, "suffix" : "" }, { "dropping-particle" : "", "family" : "Sandar", "given" : "L.", "non-dropping-particle" : "", "parse-names" : false, "suffix" : "" }, { "dropping-particle" : "", "family" : "Smith", "given" : "A.", "non-dropping-particle" : "", "parse-names" : false, "suffix" : "" }, { "dropping-particle" : "", "family" : "Sorensen", "given" : "R. J.D.", "non-dropping-particle" : "", "parse-names" : false, "suffix" : "" }, { "dropping-particle" : "", "family" : "Stanaway", "given" : "J.", "non-dropping-particle" : "", "parse-names" : false, "suffix" : "" }, { "dropping-particle" : "", "family" : "Steiner", "given" : "C.", "non-dropping-particle" : "", "parse-names" : false, "suffix" : "" }, { "dropping-particle" : "", "family" : "Teeple", "given" : "S.", "non-dropping-particle" : "", "parse-names" : false, "suffix" : "" }, { "dropping-particle" : "", "family" : "Thomas", "given" : "B. A.", "non-dropping-particle" : "", "parse-names" : false, "suffix" : "" }, { "dropping-particle" : "", "family" : "Troeger", "given" : "C.", "non-dropping-particle" : "", "parse-names" : false, "suffix" : "" }, { "dropping-particle" : "", "family" : "VanderZanden", "given" : "A.", "non-dropping-particle" : "", "parse-names" : false, "suffix" : "" }, { "dropping-particle" : "", "family" : "Wagner", "given" : "J. A.", "non-dropping-particle" : "", "parse-names" : false, "suffix" : "" }, { "dropping-particle" : "", "family" : "Wanga", "given" : "V.", "non-dropping-particle" : "", "parse-names" : false, "suffix" : "" }, { "dropping-particle" : "", "family" : "Whiteford", "given" : "H. A.", "non-dropping-particle" : "", "parse-names" : false, "suffix" : "" }, { "dropping-particle" : "", "family" : "Zhou", "given" : "M.", "non-dropping-particle" : "", "parse-names" : false, "suffix" : "" }, { "dropping-particle" : "", "family" : "Zoeckler", "given" : "L.", "non-dropping-particle" : "", "parse-names" : false, "suffix" : "" }, { "dropping-particle" : "", "family" : "Achoki", "given" : "T.", "non-dropping-particle" : "", "parse-names" : false, "suffix" : "" }, { "dropping-particle" : "", "family" : "Afshin", "given" : "A.", "non-dropping-particle" : "", "parse-names" : false, "suffix" : "" }, { "dropping-particle" : "", "family" : "Alexander", "given" : "L. T.", "non-dropping-particle" : "", "parse-names" : false, "suffix" : "" }, { "dropping-particle" : "", "family" : "Allen", "given" : "C.", "non-dropping-particle" : "", "parse-names" : false, "suffix" : "" }, { "dropping-particle" : "", "family" : "Anderson", "given" : "G. M.", "non-dropping-particle" : "", "parse-names" : false, "suffix" : "" }, { "dropping-particle" : "", "family" : "Bell", "given" : "B.", "non-dropping-particle" : "", "parse-names" : false, "suffix" : "" }, { "dropping-particle" : "", "family" : "Bienhoff", "given" : "K.", "non-dropping-particle" : "", "parse-names" : false, "suffix" : "" }, { "dropping-particle" : "", "family" : "Biryukov", "given" : "S.", "non-dropping-particle" : "", "parse-names" : false, "suffix" : "" }, { "dropping-particle" : "", "family" : "Blore", "given" : "J. D.", "non-dropping-particle" : "", "parse-names" : false, "suffix" : "" }, { "dropping-particle" : "", "family" : "Estep", "given" : "K.", "non-dropping-particle" : "", "parse-names" : false, "suffix" : "" }, { "dropping-particle" : "", "family" : "Friedman", "given" : "J.", "non-dropping-particle" : "", "parse-names" : false, "suffix" : "" }, { "dropping-particle" : "", "family" : "Frostad", "given" : "J.", "non-dropping-particle" : "", "parse-names" : false, "suffix" : "" }, { "dropping-particle" : "", "family" : "Godwin", "given" : "W. W.", "non-dropping-particle" : "", "parse-names" : false, "suffix" : "" }, { "dropping-particle" : "", "family" : "Liu", "given" : "P. Y.", "non-dropping-particle" : "", "parse-names" : false, "suffix" : "" }, { "dropping-particle" : "", "family" : "Masiye", "given" : "F.", "non-dropping-particle" : "", "parse-names" : false, "suffix" : "" }, { "dropping-particle" : "", "family" : "Millear", "given" : "A.", "non-dropping-particle" : "", "parse-names" : false, "suffix" : "" }, { "dropping-particle" : "", "family" : "Mirarefin", "given" : "M.", "non-dropping-particle" : "", "parse-names" : false, "suffix" : "" }, { "dropping-particle" : "", "family" : "Moradi-Lakeh", "given" : "M.", "non-dropping-particle" : "", "parse-names" : false, "suffix" : "" }, { "dropping-particle" : "", "family" : "Mumford", "given" : "J. E.", "non-dropping-particle" : "", "parse-names" : false, "suffix" : "" }, { "dropping-particle" : "", "family" : "Ng", "given" : "M.", "non-dropping-particle" : "", "parse-names" : false, "suffix" : "" }, { "dropping-particle" : "", "family" : "Reitsma", "given" : "M. B.", "non-dropping-particle" : "", "parse-names" : false, "suffix" : "" }, { "dropping-particle" : "", "family" : "Reynolds", "given" : "A.", "non-dropping-particle" : "", "parse-names" : false, "suffix" : "" }, { "dropping-particle" : "", "family" : "Roth", "given" : "G. A.", "non-dropping-particle" : "", "parse-names" : false, "suffix" : "" }, { "dropping-particle" : "", "family" : "Sur", "given" : "P. J.", "non-dropping-particle" : "", "parse-names" : false, "suffix" : "" }, { "dropping-particle" : "", "family" : "Vollset", "given" : "S. E.", "non-dropping-particle" : "", "parse-names" : false, "suffix" : "" }, { "dropping-particle" : "", "family" : "Vos", "given" : "T.", "non-dropping-particle" : "", "parse-names" : false, "suffix" : "" }, { "dropping-particle" : "", "family" : "Lopez", "given" : "A. D.", "non-dropping-particle" : "", "parse-names" : false, "suffix" : "" }, { "dropping-particle" : "", "family" : "Murray", "given" : "C. J.L.", "non-dropping-particle" : "", "parse-names" : false, "suffix" : "" }, { "dropping-particle" : "", "family" : "Ellenbogen", "given" : "R. G.", "non-dropping-particle" : "", "parse-names" : false, "suffix" : "" }, { "dropping-particle" : "", "family" : "Mock", "given" : "C. N.", "non-dropping-particle" : "", "parse-names" : false, "suffix" : "" }, { "dropping-particle" : "", "family" : "Anderson", "given" : "B. O.", "non-dropping-particle" : "", "parse-names" : false, "suffix" : "" }, { "dropping-particle" : "", "family" : "Futran", "given" : "N. D.", "non-dropping-particle" : "", "parse-names" : false, "suffix" : "" }, { "dropping-particle" : "", "family" : "Bhutta", "given" : "Z. A.", "non-dropping-particle" : "", "parse-names" : false, "suffix" : "" }, { "dropping-particle" : "", "family" : "Nisar", "given" : "M. I.", "non-dropping-particle" : "", "parse-names" : false, "suffix" : "" }, { "dropping-particle" : "", "family" : "Akseer", "given" : "N.", "non-dropping-particle" : "", "parse-names" : false, "suffix" : "" }, { "dropping-particle" : "", "family" : "deVeber", "given" : "G. A.", "non-dropping-particle" : "", "parse-names" : false, "suffix" : "" }, { "dropping-particle" : "", "family" : "Abajobir", "given" : "A. A.", "non-dropping-particle" : "", "parse-names" : false, "suffix" : "" }, { "dropping-particle" : "", "family" : "Knibbs", "given" : "L. D.", "non-dropping-particle" : "", "parse-names" : false, "suffix" : "" }, { "dropping-particle" : "", "family" : "Lalloo", "given" : "R.", "non-dropping-particle" : "", "parse-names" : false, "suffix" : "" }, { "dropping-particle" : "", "family" : "Alam", "given" : "N. K.M.", "non-dropping-particle" : "", "parse-names" : false, "suffix" : "" }, { "dropping-particle" : "", "family" : "Gouda", "given" : "H. N.", "non-dropping-particle" : "", "parse-names" : false, "suffix" : "" }, { "dropping-particle" : "", "family" : "Guo", "given" : "Y.", "non-dropping-particle" : "", "parse-names" : false, "suffix" : "" }, { "dropping-particle" : "", "family" : "McGrath", "given" : "J. J.", "non-dropping-particle" : "", "parse-names" : false, "suffix" : "" }, { "dropping-particle" : "", "family" : "Jeemon", "given" : "P.", "non-dropping-particle" : "", "parse-names" : false, "suffix" : "" }, { "dropping-particle" : "", "family" : "Dandona", "given" : "R.", "non-dropping-particle" : "", "parse-names" : false, "suffix" : "" }, { "dropping-particle" : "", "family" : "Kumar", "given" : "G. A.", "non-dropping-particle" : "", "parse-names" : false, "suffix" : "" }, { "dropping-particle" : "", "family" : "Gething", "given" : "P. W.", "non-dropping-particle" : "", "parse-names" : false, "suffix" : "" }, { "dropping-particle" : "", "family" : "Bisanzio", "given" : "D.", "non-dropping-particle" : "", "parse-names" : false, "suffix" : "" }, { "dropping-particle" : "", "family" : "Ali", "given" : "R.", "non-dropping-particle" : "", "parse-names" : false, "suffix" : "" }, { "dropping-particle" : "", "family" : "Bennett", "given" : "D. A.", "non-dropping-particle" : "", "parse-names" : false, "suffix" : "" }, { "dropping-particle" : "", "family" : "Jha", "given" : "V.", "non-dropping-particle" : "", "parse-names" : false, "suffix" : "" }, { "dropping-particle" : "", "family" : "Rahimi", "given" : "K.", "non-dropping-particle" : "", "parse-names" : false, "suffix" : "" }, { "dropping-particle" : "", "family" : "Duan", "given" : "L.", "non-dropping-particle" : "", "parse-names" : false, "suffix" : "" }, { "dropping-particle" : "", "family" : "Jin", "given" : "Y.", "non-dropping-particle" : "", "parse-names" : false, "suffix" : "" }, { "dropping-particle" : "", "family" : "Li", "given" : "Y.", "non-dropping-particle" : "", "parse-names" : false, "suffix" : "" }, { "dropping-particle" : "", "family" : "Wang", "given" : "L.", "non-dropping-particle" : "", "parse-names" : false, "suffix" : "" }, { "dropping-particle" : "", "family" : "Ye", "given" : "P.", "non-dropping-particle" : "", "parse-names" : false, "suffix" : "" }, { "dropping-particle" : "", "family" : "Liang", "given" : "X.", "non-dropping-particle" : "", "parse-names" : false, "suffix" : "" }, { "dropping-particle" : "", "family" : "Mensah", "given" : "G. A.", "non-dropping-particle" : "", "parse-names" : false, "suffix" : "" }, { "dropping-particle" : "", "family" : "Salomon", "given" : "J. A.", "non-dropping-particle" : "", "parse-names" : false, "suffix" : "" }, { "dropping-particle" : "", "family" : "Thorne-Lyman", "given" : "A. L.", "non-dropping-particle" : "", "parse-names" : false, "suffix" : "" }, { "dropping-particle" : "", "family" : "B\u00e4rnighausen", "given" : "T.", "non-dropping-particle" : "", "parse-names" : false, "suffix" : "" }, { "dropping-particle" : "", "family" : "Campos-Nonato", "given" : "I. R.", "non-dropping-particle" : "", "parse-names" : false, "suffix" : "" }, { "dropping-particle" : "", "family" : "Ding", "given" : "E. L.", "non-dropping-particle" : "", "parse-names" : false, "suffix" : "" }, { "dropping-particle" : "", "family" : "Farvid", "given" : "M. S.", "non-dropping-particle" : "", "parse-names" : false, "suffix" : "" }, { "dropping-particle" : "", "family" : "Wagner", "given" : "G. R.", "non-dropping-particle" : "", "parse-names" : false, "suffix" : "" }, { "dropping-particle" : "", "family" : "Fitchett", "given" : "J. R.A.", "non-dropping-particle" : "", "parse-names" : false, "suffix" : "" }, { "dropping-particle" : "", "family" : "Abate", "given" : "K. H.", "non-dropping-particle" : "", "parse-names" : false, "suffix" : "" }, { "dropping-particle" : "", "family" : "Ahmed", "given" : "M. B.", "non-dropping-particle" : "", "parse-names" : false, "suffix" : "" }, { "dropping-particle" : "", "family" : "Gebrehiwot", "given" : "T. T.", "non-dropping-particle" : "", "parse-names" : false, "suffix" : "" }, { "dropping-particle" : "", "family" : "Gebremedhin", "given" : "A. T.", "non-dropping-particle" : "", "parse-names" : false, "suffix" : "" }, { "dropping-particle" : "", "family" : "Abbafati", "given" : "C.", "non-dropping-particle" : "", "parse-names" : false, "suffix" : "" }, { "dropping-particle" : "", "family" : "Abbas", "given" : "K. M.", "non-dropping-particle" : "", "parse-names" : false, "suffix" : "" }, { "dropping-particle" : "", "family" : "Abd-Allah", "given" : "F.", "non-dropping-particle" : "", "parse-names" : false, "suffix" : "" }, { "dropping-particle" : "", "family" : "Abraham", "given" : "B.", "non-dropping-particle" : "", "parse-names" : false, "suffix" : "" }, { "dropping-particle" : "", "family" : "Abubakar", "given" : "I.", "non-dropping-particle" : "", "parse-names" : false, "suffix" : "" }, { "dropping-particle" : "", "family" : "Banerjee", "given" : "A.", "non-dropping-particle" : "", "parse-names" : false, "suffix" : "" }, { "dropping-particle" : "", "family" : "Abu-Raddad", "given" : "L. J.", "non-dropping-particle" : "", "parse-names" : false, "suffix" : "" }, { "dropping-particle" : "", "family" : "Abu-Rmeileh", "given" : "N. M.", "non-dropping-particle" : "", "parse-names" : false, "suffix" : "" }, { "dropping-particle" : "", "family" : "Ackerman", "given" : "I. N.", "non-dropping-particle" : "", "parse-names" : false, "suffix" : "" }, { "dropping-particle" : "", "family" : "Buchbinder", "given" : "R.", "non-dropping-particle" : "", "parse-names" : false, "suffix" : "" }, { "dropping-particle" : "", "family" : "Gabbe", "given" : "B.", "non-dropping-particle" : "", "parse-names" : false, "suffix" : "" }, { "dropping-particle" : "", "family" : "Thrift", "given" : "A. G.", "non-dropping-particle" : "", "parse-names" : false, "suffix" : "" }, { "dropping-particle" : "", "family" : "Lloyd", "given" : "B. K.", "non-dropping-particle" : "", "parse-names" : false, "suffix" : "" }, { "dropping-particle" : "", "family" : "Adebiyi", "given" : "A. O.", "non-dropping-particle" : "", "parse-names" : false, "suffix" : "" }, { "dropping-particle" : "", "family" : "Adedeji", "given" : "I. A.", "non-dropping-particle" : "", "parse-names" : false, "suffix" : "" }, { "dropping-particle" : "", "family" : "Adsuar", "given" : "J. C.", "non-dropping-particle" : "", "parse-names" : false, "suffix" : "" }, { "dropping-particle" : "", "family" : "Afanvi", "given" : "K. A.", "non-dropping-particle" : "", "parse-names" : false, "suffix" : "" }, { "dropping-particle" : "", "family" : "Agardh", "given" : "E. E.", "non-dropping-particle" : "", "parse-names" : false, "suffix" : "" }, { "dropping-particle" : "", "family" : "Badawi", "given" : "A.", "non-dropping-particle" : "", "parse-names" : false, "suffix" : "" }, { "dropping-particle" : "", "family" : "Popova", "given" : "S.", "non-dropping-particle" : "", "parse-names" : false, "suffix" : "" }, { "dropping-particle" : "", "family" : "Agarwal", "given" : "A.", "non-dropping-particle" : "", "parse-names" : false, "suffix" : "" }, { "dropping-particle" : "", "family" : "Agarwal", "given" : "S. K.", "non-dropping-particle" : "", "parse-names" : false, "suffix" : "" }, { "dropping-particle" : "", "family" : "Roy", "given" : "A.", "non-dropping-particle" : "", "parse-names" : false, "suffix" : "" }, { "dropping-particle" : "", "family" : "Sagar", "given" : "R.", "non-dropping-particle" : "", "parse-names" : false, "suffix" : "" }, { "dropping-particle" : "", "family" : "Satpathy", "given" : "M.", "non-dropping-particle" : "", "parse-names" : false, "suffix" : "" }, { "dropping-particle" : "", "family" : "Tandon", "given" : "N.", "non-dropping-particle" : "", "parse-names" : false, "suffix" : "" }, { "dropping-particle" : "", "family" : "Ahmad Kiadaliri", "given" : "Aliasghar", "non-dropping-particle" : "", "parse-names" : false, "suffix" : "" }, { "dropping-particle" : "", "family" : "Norrving", "given" : "B.", "non-dropping-particle" : "", "parse-names" : false, "suffix" : "" }, { "dropping-particle" : "", "family" : "Ahmadieh", "given" : "H.", "non-dropping-particle" : "", "parse-names" : false, "suffix" : "" }, { "dropping-particle" : "", "family" : "Yaseri", "given" : "M.", "non-dropping-particle" : "", "parse-names" : false, "suffix" : "" }, { "dropping-particle" : "", "family" : "Katibeh", "given" : "M.", "non-dropping-particle" : "", "parse-names" : false, "suffix" : "" }, { "dropping-particle" : "", "family" : "Al-Aly", "given" : "Z.", "non-dropping-particle" : "", "parse-names" : false, "suffix" : "" }, { "dropping-particle" : "", "family" : "Alam", "given" : "K.", "non-dropping-particle" : "", "parse-names" : false, "suffix" : "" }, { "dropping-particle" : "", "family" : "Azzopardi", "given" : "P.", "non-dropping-particle" : "", "parse-names" : false, "suffix" : "" }, { "dropping-particle" : "", "family" : "Borschmann", "given" : "R.", "non-dropping-particle" : "", "parse-names" : false, "suffix" : "" }, { "dropping-particle" : "", "family" : "Colquhoun", "given" : "S. M.", "non-dropping-particle" : "", "parse-names" : false, "suffix" : "" }, { "dropping-particle" : "", "family" : "Patton", "given" : "G. C.", "non-dropping-particle" : "", "parse-names" : false, "suffix" : "" }, { "dropping-particle" : "", "family" : "Weintraub", "given" : "R. G.", "non-dropping-particle" : "", "parse-names" : false, "suffix" : "" }, { "dropping-particle" : "", "family" : "Meretoja", "given" : "A.", "non-dropping-particle" : "", "parse-names" : false, "suffix" : "" }, { "dropping-particle" : "", "family" : "Szoeke", "given" : "C. E.I.", "non-dropping-particle" : "", "parse-names" : false, "suffix" : "" }, { "dropping-particle" : "", "family" : "Taylor", "given" : "H. R.", "non-dropping-particle" : "", "parse-names" : false, "suffix" : "" }, { "dropping-particle" : "", "family" : "Wijeratne", "given" : "T.", "non-dropping-particle" : "", "parse-names" : false, "suffix" : "" }, { "dropping-particle" : "", "family" : "Driscoll", "given" : "T. R.", "non-dropping-particle" : "", "parse-names" : false, "suffix" : "" }, { "dropping-particle" : "", "family" : "Leigh", "given" : "J.", "non-dropping-particle" : "", "parse-names" : false, "suffix" : "" }, { "dropping-particle" : "", "family" : "Kemp", "given" : "A. H.", "non-dropping-particle" : "", "parse-names" : false, "suffix" : "" }, { "dropping-particle" : "", "family" : "Aldhahri", "given" : "S. F.", "non-dropping-particle" : "", "parse-names" : false, "suffix" : "" }, { "dropping-particle" : "", "family" : "Altirkawi", "given" : "K. A.", "non-dropping-particle" : "", "parse-names" : false, "suffix" : "" }, { "dropping-particle" : "", "family" : "Terkawi", "given" : "A. S.", "non-dropping-particle" : "", "parse-names" : false, "suffix" : "" }, { "dropping-particle" : "", "family" : "Alegretti", "given" : "M. A.", "non-dropping-particle" : "", "parse-names" : false, "suffix" : "" }, { "dropping-particle" : "V.", "family" : "Aleman", "given" : "A.", "non-dropping-particle" : "", "parse-names" : false, "suffix" : "" }, { "dropping-particle" : "", "family" : "Cavalleri", "given" : "F.", "non-dropping-particle" : "", "parse-names" : false, "suffix" : "" }, { "dropping-particle" : "", "family" : "Colistro", "given" : "V.", "non-dropping-particle" : "", "parse-names" : false, "suffix" : "" }, { "dropping-particle" : "", "family" : "Alemu", "given" : "Z. A.", "non-dropping-particle" : "", "parse-names" : false, "suffix" : "" }, { "dropping-particle" : "", "family" : "Tegegne", "given" : "T. K.", "non-dropping-particle" : "", "parse-names" : false, "suffix" : "" }, { "dropping-particle" : "", "family" : "Alkerwi", "given" : "A.", "non-dropping-particle" : "", "parse-names" : false, "suffix" : "" }, { "dropping-particle" : "", "family" : "Alla", "given" : "F.", "non-dropping-particle" : "", "parse-names" : false, "suffix" : "" }, { "dropping-particle" : "", "family" : "Allebeck", "given" : "P.", "non-dropping-particle" : "", "parse-names" : false, "suffix" : "" }, { "dropping-particle" : "", "family" : "Rabiee", "given" : "R. H.S.", "non-dropping-particle" : "", "parse-names" : false, "suffix" : "" }, { "dropping-particle" : "", "family" : "Carrero", "given" : "J. J.", "non-dropping-particle" : "", "parse-names" : false, "suffix" : "" }, { "dropping-particle" : "", "family" : "Fereshtehnejad", "given" : "S. M.", "non-dropping-particle" : "", "parse-names" : false, "suffix" : "" }, { "dropping-particle" : "", "family" : "Kivipelto", "given" : "M.", "non-dropping-particle" : "", "parse-names" : false, "suffix" : "" }, { "dropping-particle" : "", "family" : "Weiderpass", "given" : "E.", "non-dropping-particle" : "", "parse-names" : false, "suffix" : "" }, { "dropping-particle" : "", "family" : "Havmoeller", "given" : "R.", "non-dropping-particle" : "", "parse-names" : false, "suffix" : "" }, { "dropping-particle" : "", "family" : "Sindi", "given" : "Shireen", "non-dropping-particle" : "", "parse-names" : false, "suffix" : "" }, { "dropping-particle" : "", "family" : "Alsharif", "given" : "U.", "non-dropping-particle" : "", "parse-names" : false, "suffix" : "" }, { "dropping-particle" : "", "family" : "Alvarez", "given" : "E.", "non-dropping-particle" : "", "parse-names" : false, "suffix" : "" }, { "dropping-particle" : "", "family" : "Alvis-Guzman", "given" : "N.", "non-dropping-particle" : "", "parse-names" : false, "suffix" : "" }, { "dropping-particle" : "", "family" : "Amare", "given" : "A. T.", "non-dropping-particle" : "", "parse-names" : false, "suffix" : "" }, { "dropping-particle" : "", "family" : "Melaku", "given" : "Y. A.", "non-dropping-particle" : "", "parse-names" : false, "suffix" : "" }, { "dropping-particle" : "", "family" : "Ciobanu", "given" : "L. G.", "non-dropping-particle" : "", "parse-names" : false, "suffix" : "" }, { "dropping-particle" : "", "family" : "Tessema", "given" : "G. A.", "non-dropping-particle" : "", "parse-names" : false, "suffix" : "" }, { "dropping-particle" : "", "family" : "Amberbir", "given" : "A.", "non-dropping-particle" : "", "parse-names" : false, "suffix" : "" }, { "dropping-particle" : "", "family" : "Amegah", "given" : "A. K.", "non-dropping-particle" : "", "parse-names" : false, "suffix" : "" }, { "dropping-particle" : "", "family" : "Ameh", "given" : "E. A.", "non-dropping-particle" : "", "parse-names" : false, "suffix" : "" }, { "dropping-particle" : "", "family" : "Amini", "given" : "H.", "non-dropping-particle" : "", "parse-names" : false, "suffix" : "" }, { "dropping-particle" : "", "family" : "F\u00fcrst", "given" : "T.", "non-dropping-particle" : "", "parse-names" : false, "suffix" : "" }, { "dropping-particle" : "", "family" : "Karema", "given" : "C. K.", "non-dropping-particle" : "", "parse-names" : false, "suffix" : "" }, { "dropping-particle" : "", "family" : "Ammar", "given" : "W.", "non-dropping-particle" : "", "parse-names" : false, "suffix" : "" }, { "dropping-particle" : "", "family" : "Harb", "given" : "H. L.", "non-dropping-particle" : "", "parse-names" : false, "suffix" : "" }, { "dropping-particle" : "", "family" : "Amrock", "given" : "S. M.", "non-dropping-particle" : "", "parse-names" : false, "suffix" : "" }, { "dropping-particle" : "", "family" : "Zonies", "given" : "D.", "non-dropping-particle" : "", "parse-names" : false, "suffix" : "" }, { "dropping-particle" : "", "family" : "Antonio", "given" : "C. A.T.", "non-dropping-particle" : "", "parse-names" : false, "suffix" : "" }, { "dropping-particle" : "", "family" : "Anwari", "given" : "P.", "non-dropping-particle" : "", "parse-names" : false, "suffix" : "" }, { "dropping-particle" : "", "family" : "\u00c4rnl\u00f6v", "given" : "J.", "non-dropping-particle" : "", "parse-names" : false, "suffix" : "" }, { "dropping-particle" : "", "family" : "Larsson", "given" : "A.", "non-dropping-particle" : "", "parse-names" : false, "suffix" : "" }, { "dropping-particle" : "", "family" : "Arsic", "given" : "V. S.", "non-dropping-particle" : "", "parse-names" : false, "suffix" : "" }, { "dropping-particle" : "", "family" : "Barac", "given" : "A.", "non-dropping-particle" : "", "parse-names" : false, "suffix" : "" }, { "dropping-particle" : "", "family" : "Artaman", "given" : "A.", "non-dropping-particle" : "", "parse-names" : false, "suffix" : "" }, { "dropping-particle" : "", "family" : "Asayesh", "given" : "H.", "non-dropping-particle" : "", "parse-names" : false, "suffix" : "" }, { "dropping-particle" : "", "family" : "Asghar", "given" : "R. J.", "non-dropping-particle" : "", "parse-names" : false, "suffix" : "" }, { "dropping-particle" : "", "family" : "Avokpaho", "given" : "E. F.G.A.", "non-dropping-particle" : "", "parse-names" : false, "suffix" : "" }, { "dropping-particle" : "", "family" : "Gankp\u00e9", "given" : "F. G.", "non-dropping-particle" : "", "parse-names" : false, "suffix" : "" }, { "dropping-particle" : "", "family" : "Awasthi", "given" : "A.", "non-dropping-particle" : "", "parse-names" : false, "suffix" : "" }, { "dropping-particle" : "", "family" : "Ayala", "given" : "B. P.", "non-dropping-particle" : "", "parse-names" : false, "suffix" : "" }, { "dropping-particle" : "", "family" : "Bacha", "given" : "U.", "non-dropping-particle" : "", "parse-names" : false, "suffix" : "" }, { "dropping-particle" : "", "family" : "Balakrishnan", "given" : "K.", "non-dropping-particle" : "", "parse-names" : false, "suffix" : "" }, { "dropping-particle" : "", "family" : "Barker-Collo", "given" : "S. L.", "non-dropping-particle" : "", "parse-names" : false, "suffix" : "" }, { "dropping-particle" : "", "family" : "Mohammed", "given" : "S.", "non-dropping-particle" : "", "parse-names" : false, "suffix" : "" }, { "dropping-particle" : "", "family" : "Barregard", "given" : "L.", "non-dropping-particle" : "", "parse-names" : false, "suffix" : "" }, { "dropping-particle" : "", "family" : "Petzold", "given" : "M.", "non-dropping-particle" : "", "parse-names" : false, "suffix" : "" }, { "dropping-particle" : "", "family" : "Barrero", "given" : "L. H.", "non-dropping-particle" : "", "parse-names" : false, "suffix" : "" }, { "dropping-particle" : "", "family" : "Basu", "given" : "S.", "non-dropping-particle" : "", "parse-names" : false, "suffix" : "" }, { "dropping-particle" : "", "family" : "Del", "given" : "L. C.", "non-dropping-particle" : "", "parse-names" : false, "suffix" : "" }, { "dropping-particle" : "", "family" : "Bayou", "given" : "T. A.", "non-dropping-particle" : "", "parse-names" : false, "suffix" : "" }, { "dropping-particle" : "", "family" : "Betsu", "given" : "B. D.", "non-dropping-particle" : "", "parse-names" : false, "suffix" : "" }, { "dropping-particle" : "", "family" : "Hailu", "given" : "G. B.", "non-dropping-particle" : "", "parse-names" : false, "suffix" : "" }, { "dropping-particle" : "", "family" : "Tekle", "given" : "D. Y.", "non-dropping-particle" : "", "parse-names" : false, "suffix" : "" }, { "dropping-particle" : "", "family" : "Beardsley", "given" : "J.", "non-dropping-particle" : "", "parse-names" : false, "suffix" : "" }, { "dropping-particle" : "", "family" : "Bedi", "given" : "N.", "non-dropping-particle" : "", "parse-names" : false, "suffix" : "" }, { "dropping-particle" : "", "family" : "Beghi", "given" : "E.", "non-dropping-particle" : "", "parse-names" : false, "suffix" : "" }, { "dropping-particle" : "", "family" : "Sheth", "given" : "K. N.", "non-dropping-particle" : "", "parse-names" : false, "suffix" : "" }, { "dropping-particle" : "", "family" : "Bell", "given" : "M. L.", "non-dropping-particle" : "", "parse-names" : false, "suffix" : "" }, { "dropping-particle" : "", "family" : "Huang", "given" : "J. J.", "non-dropping-particle" : "", "parse-names" : false, "suffix" : "" }, { "dropping-particle" : "", "family" : "Benjet", "given" : "C.", "non-dropping-particle" : "", "parse-names" : false, "suffix" : "" }, { "dropping-particle" : "", "family" : "Guti\u00e9rrez", "given" : "R. A.", "non-dropping-particle" : "", "parse-names" : false, "suffix" : "" }, { "dropping-particle" : "", "family" : "Santos", "given" : "I. S.", "non-dropping-particle" : "", "parse-names" : false, "suffix" : "" }, { "dropping-particle" : "", "family" : "Bensenor", "given" : "I. M.", "non-dropping-particle" : "", "parse-names" : false, "suffix" : "" }, { "dropping-particle" : "", "family" : "Lotufo", "given" : "P. A.", "non-dropping-particle" : "", "parse-names" : false, "suffix" : "" }, { "dropping-particle" : "", "family" : "Berhane", "given" : "A.", "non-dropping-particle" : "", "parse-names" : false, "suffix" : "" }, { "dropping-particle" : "", "family" : "Wolfe", "given" : "C. D.", "non-dropping-particle" : "", "parse-names" : false, "suffix" : "" }, { "dropping-particle" : "", "family" : "Bernab\u00e9", "given" : "E.", "non-dropping-particle" : "", "parse-names" : false, "suffix" : "" }, { "dropping-particle" : "", "family" : "Hay", "given" : "R. J.", "non-dropping-particle" : "", "parse-names" : false, "suffix" : "" }, { "dropping-particle" : "", "family" : "Roba", "given" : "H. S.", "non-dropping-particle" : "", "parse-names" : false, "suffix" : "" }, { "dropping-particle" : "", "family" : "Beyene", "given" : "A. S.", "non-dropping-particle" : "", "parse-names" : false, "suffix" : "" }, { "dropping-particle" : "", "family" : "Hassen", "given" : "T. A.", "non-dropping-particle" : "", "parse-names" : false, "suffix" : "" }, { "dropping-particle" : "", "family" : "Mesfi", "given" : "Y. M.", "non-dropping-particle" : "", "parse-names" : false, "suffix" : "" }, { "dropping-particle" : "", "family" : "Bhala", "given" : "N.", "non-dropping-particle" : "", "parse-names" : false, "suffix" : "" }, { "dropping-particle" : "", "family" : "Bhansali", "given" : "A.", "non-dropping-particle" : "", "parse-names" : false, "suffix" : "" }, { "dropping-particle" : "", "family" : "Piel", "given" : "F. B.", "non-dropping-particle" : "", "parse-names" : false, "suffix" : "" }, { "dropping-particle" : "", "family" : "Steiner", "given" : "T. J.", "non-dropping-particle" : "", "parse-names" : false, "suffix" : "" }, { "dropping-particle" : "", "family" : "Bhatt", "given" : "S.", "non-dropping-particle" : "", "parse-names" : false, "suffix" : "" }, { "dropping-particle" : "", "family" : "Majeed", "given" : "A.", "non-dropping-particle" : "", "parse-names" : false, "suffix" : "" }, { "dropping-particle" : "", "family" : "Soljak", "given" : "M.", "non-dropping-particle" : "", "parse-names" : false, "suffix" : "" }, { "dropping-particle" : "", "family" : "Biadgilign", "given" : "S.", "non-dropping-particle" : "", "parse-names" : false, "suffix" : "" }, { "dropping-particle" : "", "family" : "Bikbov", "given" : "B.", "non-dropping-particle" : "", "parse-names" : false, "suffix" : "" }, { "dropping-particle" : "", "family" : "Bin", "given" : "A. A.", "non-dropping-particle" : "", "parse-names" : false, "suffix" : "" }, { "dropping-particle" : "", "family" : "Bjertness", "given" : "E.", "non-dropping-particle" : "", "parse-names" : false, "suffix" : "" }, { "dropping-particle" : "", "family" : "Bourne", "given" : "R. R.A.", "non-dropping-particle" : "", "parse-names" : false, "suffix" : "" }, { "dropping-particle" : "", "family" : "Brainin", "given" : "M.", "non-dropping-particle" : "", "parse-names" : false, "suffix" : "" }, { "dropping-particle" : "", "family" : "Brazinova", "given" : "A.", "non-dropping-particle" : "", "parse-names" : false, "suffix" : "" }, { "dropping-particle" : "", "family" : "Majdan", "given" : "M.", "non-dropping-particle" : "", "parse-names" : false, "suffix" : "" }, { "dropping-particle" : "", "family" : "Shen", "given" : "J.", "non-dropping-particle" : "", "parse-names" : false, "suffix" : "" }, { "dropping-particle" : "", "family" : "Breitborde", "given" : "N. J.K.", "non-dropping-particle" : "", "parse-names" : false, "suffix" : "" }, { "dropping-particle" : "", "family" : "Brenner", "given" : "H.", "non-dropping-particle" : "", "parse-names" : false, "suffix" : "" }, { "dropping-particle" : "", "family" : "Brugha", "given" : "T. S.", "non-dropping-particle" : "", "parse-names" : false, "suffix" : "" }, { "dropping-particle" : "", "family" : "Buckle", "given" : "G. C.", "non-dropping-particle" : "", "parse-names" : false, "suffix" : "" }, { "dropping-particle" : "", "family" : "Butt", "given" : "Z. A.", "non-dropping-particle" : "", "parse-names" : false, "suffix" : "" }, { "dropping-particle" : "", "family" : "Calabria", "given" : "B.", "non-dropping-particle" : "", "parse-names" : false, "suffix" : "" }, { "dropping-particle" : "", "family" : "Lucas", "given" : "R. M.", "non-dropping-particle" : "", "parse-names" : false, "suffix" : "" }, { "dropping-particle" : "", "family" : "Boufous", "given" : "S.", "non-dropping-particle" : "", "parse-names" : false, "suffix" : "" }, { "dropping-particle" : "", "family" : "Degenhardt", "given" : "L.", "non-dropping-particle" : "", "parse-names" : false, "suffix" : "" }, { "dropping-particle" : "", "family" : "Resnikoff", "given" : "S.", "non-dropping-particle" : "", "parse-names" : false, "suffix" : "" }, { "dropping-particle" : "", "family" : "Mitchell", "given" : "P. B.", "non-dropping-particle" : "", "parse-names" : false, "suffix" : "" }, { "dropping-particle" : "", "family" : "Campuzano", "given" : "J. C.", "non-dropping-particle" : "", "parse-names" : false, "suffix" : "" }, { "dropping-particle" : "", "family" : "Gomez-Dantes", "given" : "H.", "non-dropping-particle" : "", "parse-names" : false, "suffix" : "" }, { "dropping-particle" : "", "family" : "Heredia-Pi", "given" : "I. B.", "non-dropping-particle" : "", "parse-names" : false, "suffix" : "" }, { "dropping-particle" : "", "family" : "Jauregui", "given" : "A.", "non-dropping-particle" : "", "parse-names" : false, "suffix" : "" }, { "dropping-particle" : "", "family" : "Monta\u00f1ez Hernandez", "given" : "J. C.", "non-dropping-particle" : "", "parse-names" : false, "suffix" : "" }, { "dropping-particle" : "", "family" : "Servan-Mori", "given" : "E. E.", "non-dropping-particle" : "", "parse-names" : false, "suffix" : "" }, { "dropping-particle" : "", "family" : "Carabin", "given" : "H.", "non-dropping-particle" : "", "parse-names" : false, "suffix" : "" }, { "dropping-particle" : "", "family" : "Carapetis", "given" : "J. R.", "non-dropping-particle" : "", "parse-names" : false, "suffix" : "" }, { "dropping-particle" : "", "family" : "C\u00e1rdenas", "given" : "R.", "non-dropping-particle" : "", "parse-names" : false, "suffix" : "" }, { "dropping-particle" : "", "family" : "Casta\u00f1eda-Orjuela", "given" : "C. A.", "non-dropping-particle" : "", "parse-names" : false, "suffix" : "" }, { "dropping-particle" : "", "family" : "Castillo Rivas", "given" : "J.", "non-dropping-particle" : "", "parse-names" : false, "suffix" : "" }, { "dropping-particle" : "", "family" : "Catal\u00e1-L\u00f3pez", "given" : "F.", "non-dropping-particle" : "", "parse-names" : false, "suffix" : "" }, { "dropping-particle" : "", "family" : "Chang", "given" : "J.", "non-dropping-particle" : "", "parse-names" : false, "suffix" : "" }, { "dropping-particle" : "", "family" : "Chiang", "given" : "P. P.", "non-dropping-particle" : "", "parse-names" : false, "suffix" : "" }, { "dropping-particle" : "", "family" : "Chibalabala", "given" : "M.", "non-dropping-particle" : "", "parse-names" : false, "suffix" : "" }, { "dropping-particle" : "", "family" : "Chibueze", "given" : "C. E.", "non-dropping-particle" : "", "parse-names" : false, "suffix" : "" }, { "dropping-particle" : "", "family" : "Mori", "given" : "R.", "non-dropping-particle" : "", "parse-names" : false, "suffix" : "" }, { "dropping-particle" : "", "family" : "Chisumpa", "given" : "V. H.", "non-dropping-particle" : "", "parse-names" : false, "suffix" : "" }, { "dropping-particle" : "", "family" : "Choi", "given" : "J. J.", "non-dropping-particle" : "", "parse-names" : false, "suffix" : "" }, { "dropping-particle" : "", "family" : "Choudhury", "given" : "L.", "non-dropping-particle" : "", "parse-names" : false, "suffix" : "" }, { "dropping-particle" : "", "family" : "Christensen", "given" : "H.", "non-dropping-particle" : "", "parse-names" : false, "suffix" : "" }, { "dropping-particle" : "", "family" : "Colomar", "given" : "M.", "non-dropping-particle" : "", "parse-names" : false, "suffix" : "" }, { "dropping-particle" : "", "family" : "Crump", "given" : "J. A.", "non-dropping-particle" : "", "parse-names" : false, "suffix" : "" }, { "dropping-particle" : "", "family" : "Derrett", "given" : "S.", "non-dropping-particle" : "", "parse-names" : false, "suffix" : "" }, { "dropping-particle" : "", "family" : "Poulton", "given" : "R. G.", "non-dropping-particle" : "", "parse-names" : false, "suffix" : "" }, { "dropping-particle" : "", "family" : "Giussani", "given" : "G.", "non-dropping-particle" : "", "parse-names" : false, "suffix" : "" }, { "dropping-particle" : "", "family" : "Cortinovis", "given" : "M.", "non-dropping-particle" : "", "parse-names" : false, "suffix" : "" }, { "dropping-particle" : "", "family" : "Perico", "given" : "N.", "non-dropping-particle" : "", "parse-names" : false, "suffix" : "" }, { "dropping-particle" : "", "family" : "Remuzzi", "given" : "G.", "non-dropping-particle" : "", "parse-names" : false, "suffix" : "" }, { "dropping-particle" : "", "family" : "Remuzzi", "given" : "G.", "non-dropping-particle" : "", "parse-names" : false, "suffix" : "" }, { "dropping-particle" : "", "family" : "Dargan", "given" : "P. I.", "non-dropping-particle" : "", "parse-names" : false, "suffix" : "" }, { "dropping-particle" : "", "family" : "Neves", "given" : "J.", "non-dropping-particle" : "das", "parse-names" : false, "suffix" : "" }, { "dropping-particle" : "", "family" : "Pedro", "given" : "J. M.", "non-dropping-particle" : "", "parse-names" : false, "suffix" : "" }, { "dropping-particle" : "V.", "family" : "Santos", "given" : "J.", "non-dropping-particle" : "", "parse-names" : false, "suffix" : "" }, { "dropping-particle" : "", "family" : "Davey", "given" : "G.", "non-dropping-particle" : "", "parse-names" : false, "suffix" : "" }, { "dropping-particle" : "", "family" : "Davis", "given" : "A. C.", "non-dropping-particle" : "", "parse-names" : false, "suffix" : "" }, { "dropping-particle" : "", "family" : "Newton", "given" : "J. N.", "non-dropping-particle" : "", "parse-names" : false, "suffix" : "" }, { "dropping-particle" : "", "family" : "Steel", "given" : "N.", "non-dropping-particle" : "", "parse-names" : false, "suffix" : "" }, { "dropping-particle" : "", "family" : "Leo", "given" : "D.", "non-dropping-particle" : "De", "parse-names" : false, "suffix" : "" }, { "dropping-particle" : "", "family" : "Jarlais", "given" : "D. C.", "non-dropping-particle" : "Des", "parse-names" : false, "suffix" : "" }, { "dropping-particle" : "", "family" : "Dharmaratne", "given" : "S. D.", "non-dropping-particle" : "", "parse-names" : false, "suffix" : "" }, { "dropping-particle" : "", "family" : "Dhillon", "given" : "P. K.", "non-dropping-particle" : "", "parse-names" : false, "suffix" : "" }, { "dropping-particle" : "", "family" : "Zodpey", "given" : "S.", "non-dropping-particle" : "", "parse-names" : false, "suffix" : "" }, { "dropping-particle" : "", "family" : "Doyle", "given" : "K. E.", "non-dropping-particle" : "", "parse-names" : false, "suffix" : "" }, { "dropping-particle" : "", "family" : "Dubey", "given" : "M.", "non-dropping-particle" : "", "parse-names" : false, "suffix" : "" }, { "dropping-particle" : "", "family" : "Rahman", "given" : "M. H.U.", "non-dropping-particle" : "", "parse-names" : false, "suffix" : "" }, { "dropping-particle" : "", "family" : "Ram", "given" : "U.", "non-dropping-particle" : "", "parse-names" : false, "suffix" : "" }, { "dropping-particle" : "", "family" : "Singh", "given" : "A.", "non-dropping-particle" : "", "parse-names" : false, "suffix" : "" }, { "dropping-particle" : "", "family" : "Yadav", "given" : "A. K.", "non-dropping-particle" : "", "parse-names" : false, "suffix" : "" }, { "dropping-particle" : "", "family" : "Duncan", "given" : "B. B.", "non-dropping-particle" : "", "parse-names" : false, "suffix" : "" }, { "dropping-particle" : "", "family" : "Kieling", "given" : "C.", "non-dropping-particle" : "", "parse-names" : false, "suffix" : "" }, { "dropping-particle" : "", "family" : "Schmidt", "given" : "M. I.", "non-dropping-particle" : "", "parse-names" : false, "suffix" : "" }, { "dropping-particle" : "", "family" : "Ebrahimi", "given" : "H.", "non-dropping-particle" : "", "parse-names" : false, "suffix" : "" }, { "dropping-particle" : "", "family" : "Esteghamati", "given" : "A.", "non-dropping-particle" : "", "parse-names" : false, "suffix" : "" }, { "dropping-particle" : "", "family" : "Farzadfar", "given" : "F.", "non-dropping-particle" : "", "parse-names" : false, "suffix" : "" }, { "dropping-particle" : "", "family" : "Hafezi-Nejad", "given" : "N.", "non-dropping-particle" : "", "parse-names" : false, "suffix" : "" }, { "dropping-particle" : "", "family" : "Kasaeian", "given" : "A.", "non-dropping-particle" : "", "parse-names" : false, "suffix" : "" }, { "dropping-particle" : "", "family" : "Parsaeian", "given" : "M.", "non-dropping-particle" : "", "parse-names" : false, "suffix" : "" }, { "dropping-particle" : "", "family" : "Pishgar", "given" : "F.", "non-dropping-particle" : "", "parse-names" : false, "suffix" : "" }, { "dropping-particle" : "", "family" : "Sheikhbahaei", "given" : "S.", "non-dropping-particle" : "", "parse-names" : false, "suffix" : "" }, { "dropping-particle" : "", "family" : "Fahimi", "given" : "S.", "non-dropping-particle" : "", "parse-names" : false, "suffix" : "" }, { "dropping-particle" : "", "family" : "Malekzadeh", "given" : "R.", "non-dropping-particle" : "", "parse-names" : false, "suffix" : "" }, { "dropping-particle" : "", "family" : "Roshandel", "given" : "G.", "non-dropping-particle" : "", "parse-names" : false, "suffix" : "" }, { "dropping-particle" : "", "family" : "Sepanlou", "given" : "S. G.", "non-dropping-particle" : "", "parse-names" : false, "suffix" : "" }, { "dropping-particle" : "", "family" : "Hassanvand", "given" : "M. S.", "non-dropping-particle" : "", "parse-names" : false, "suffix" : "" }, { "dropping-particle" : "", "family" : "Heydarpour", "given" : "P.", "non-dropping-particle" : "", "parse-names" : false, "suffix" : "" }, { "dropping-particle" : "", "family" : "Rahimi-Movaghar", "given" : "V.", "non-dropping-particle" : "", "parse-names" : false, "suffix" : "" }, { "dropping-particle" : "", "family" : "Elyazar", "given" : "I.", "non-dropping-particle" : "", "parse-names" : false, "suffix" : "" }, { "dropping-particle" : "", "family" : "Endries", "given" : "A. Y.", "non-dropping-particle" : "", "parse-names" : false, "suffix" : "" }, { "dropping-particle" : "", "family" : "Ermakov", "given" : "S. P.", "non-dropping-particle" : "", "parse-names" : false, "suffix" : "" }, { "dropping-particle" : "", "family" : "Eshrati", "given" : "B.", "non-dropping-particle" : "", "parse-names" : false, "suffix" : "" }, { "dropping-particle" : "", "family" : "Farid", "given" : "T. A.", "non-dropping-particle" : "", "parse-names" : false, "suffix" : "" }, { "dropping-particle" : "", "family" : "Khan", "given" : "A. R.", "non-dropping-particle" : "", "parse-names" : false, "suffix" : "" }, { "dropping-particle" : "", "family" : "Farinha", "given" : "C. S.E.S.", "non-dropping-particle" : "", "parse-names" : false, "suffix" : "" }, { "dropping-particle" : "", "family" : "Faro", "given" : "A.", "non-dropping-particle" : "", "parse-names" : false, "suffix" : "" }, { "dropping-particle" : "", "family" : "Feigin", "given" : "V. L.", "non-dropping-particle" : "", "parse-names" : false, "suffix" : "" }, { "dropping-particle" : "", "family" : "Te", "given" : "B. J.", "non-dropping-particle" : "", "parse-names" : false, "suffix" : "" }, { "dropping-particle" : "", "family" : "Fernandes", "given" : "J. G.", "non-dropping-particle" : "", "parse-names" : false, "suffix" : "" }, { "dropping-particle" : "", "family" : "Fernandes", "given" : "J. C.", "non-dropping-particle" : "", "parse-names" : false, "suffix" : "" }, { "dropping-particle" : "", "family" : "Fischer", "given" : "F.", "non-dropping-particle" : "", "parse-names" : false, "suffix" : "" }, { "dropping-particle" : "", "family" : "Foigt", "given" : "N.", "non-dropping-particle" : "", "parse-names" : false, "suffix" : "" }, { "dropping-particle" : "", "family" : "Fowkes", "given" : "F. G.R.", "non-dropping-particle" : "", "parse-names" : false, "suffix" : "" }, { "dropping-particle" : "", "family" : "Franklin", "given" : "R. C.", "non-dropping-particle" : "", "parse-names" : false, "suffix" : "" }, { "dropping-particle" : "", "family" : "Garcia-Basteiro", "given" : "A. L.", "non-dropping-particle" : "", "parse-names" : false, "suffix" : "" }, { "dropping-particle" : "", "family" : "Geleijnse", "given" : "J. M.", "non-dropping-particle" : "", "parse-names" : false, "suffix" : "" }, { "dropping-particle" : "", "family" : "Jibat", "given" : "T.", "non-dropping-particle" : "", "parse-names" : false, "suffix" : "" }, { "dropping-particle" : "", "family" : "Gibney", "given" : "K. B.", "non-dropping-particle" : "", "parse-names" : false, "suffix" : "" }, { "dropping-particle" : "", "family" : "Gillum", "given" : "R. F.", "non-dropping-particle" : "", "parse-names" : false, "suffix" : "" }, { "dropping-particle" : "", "family" : "Mehari", "given" : "A.", "non-dropping-particle" : "", "parse-names" : false, "suffix" : "" }, { "dropping-particle" : "", "family" : "Ginawi", "given" : "I. A.", "non-dropping-particle" : "", "parse-names" : false, "suffix" : "" }, { "dropping-particle" : "", "family" : "Hailu", "given" : "A. D.", "non-dropping-particle" : "", "parse-names" : false, "suffix" : "" }, { "dropping-particle" : "", "family" : "Giref", "given" : "A. Z.", "non-dropping-particle" : "", "parse-names" : false, "suffix" : "" }, { "dropping-particle" : "", "family" : "Haile", "given" : "D.", "non-dropping-particle" : "", "parse-names" : false, "suffix" : "" }, { "dropping-particle" : "", "family" : "Giroud", "given" : "M.", "non-dropping-particle" : "", "parse-names" : false, "suffix" : "" }, { "dropping-particle" : "", "family" : "Gishu", "given" : "M. D.", "non-dropping-particle" : "", "parse-names" : false, "suffix" : "" }, { "dropping-particle" : "", "family" : "Tura", "given" : "A. K.", "non-dropping-particle" : "", "parse-names" : false, "suffix" : "" }, { "dropping-particle" : "", "family" : "Gona", "given" : "P.", "non-dropping-particle" : "", "parse-names" : false, "suffix" : "" }, { "dropping-particle" : "", "family" : "Goodridge", "given" : "A.", "non-dropping-particle" : "", "parse-names" : false, "suffix" : "" }, { "dropping-particle" : "V.", "family" : "Gopalani", "given" : "S.", "non-dropping-particle" : "", "parse-names" : false, "suffix" : "" }, { "dropping-particle" : "", "family" : "Gotay", "given" : "C. C.", "non-dropping-particle" : "", "parse-names" : false, "suffix" : "" }, { "dropping-particle" : "", "family" : "Kissoon", "given" : "N.", "non-dropping-particle" : "", "parse-names" : false, "suffix" : "" }, { "dropping-particle" : "", "family" : "Kopec", "given" : "J. A.", "non-dropping-particle" : "", "parse-names" : false, "suffix" : "" }, { "dropping-particle" : "", "family" : "Pourmalek", "given" : "F.", "non-dropping-particle" : "", "parse-names" : false, "suffix" : "" }, { "dropping-particle" : "", "family" : "Goto", "given" : "A.", "non-dropping-particle" : "", "parse-names" : false, "suffix" : "" }, { "dropping-particle" : "", "family" : "Inoue", "given" : "M.", "non-dropping-particle" : "", "parse-names" : false, "suffix" : "" }, { "dropping-particle" : "", "family" : "Gugnani", "given" : "H.", "non-dropping-particle" : "", "parse-names" : false, "suffix" : "" }, { "dropping-particle" : "", "family" : "Gupta", "given" : "R.", "non-dropping-particle" : "", "parse-names" : false, "suffix" : "" }, { "dropping-particle" : "", "family" : "Gupta", "given" : "R.", "non-dropping-particle" : "", "parse-names" : false, "suffix" : "" }, { "dropping-particle" : "", "family" : "Gupta", "given" : "V.", "non-dropping-particle" : "", "parse-names" : false, "suffix" : "" }, { "dropping-particle" : "", "family" : "Knudsen", "given" : "A. K.", "non-dropping-particle" : "", "parse-names" : false, "suffix" : "" }, { "dropping-particle" : "", "family" : "Norheim", "given" : "O. F.", "non-dropping-particle" : "", "parse-names" : false, "suffix" : "" }, { "dropping-particle" : "", "family" : "Halasa", "given" : "Y. A.", "non-dropping-particle" : "", "parse-names" : false, "suffix" : "" }, { "dropping-particle" : "", "family" : "Undurraga", "given" : "E. A.", "non-dropping-particle" : "", "parse-names" : false, "suffix" : "" }, { "dropping-particle" : "", "family" : "Hamadeh", "given" : "R. R.", "non-dropping-particle" : "", "parse-names" : false, "suffix" : "" }, { "dropping-particle" : "", "family" : "Hamidi", "given" : "S.", "non-dropping-particle" : "", "parse-names" : false, "suffix" : "" }, { "dropping-particle" : "", "family" : "Hammami", "given" : "M.", "non-dropping-particle" : "", "parse-names" : false, "suffix" : "" }, { "dropping-particle" : "", "family" : "Handal", "given" : "A. J.", "non-dropping-particle" : "", "parse-names" : false, "suffix" : "" }, { "dropping-particle" : "", "family" : "Hankey", "given" : "G. J.", "non-dropping-particle" : "", "parse-names" : false, "suffix" : "" }, { "dropping-particle" : "", "family" : "Harikrishnan", "given" : "S.", "non-dropping-particle" : "", "parse-names" : false, "suffix" : "" }, { "dropping-particle" : "", "family" : "Haro", "given" : "J. M.", "non-dropping-particle" : "", "parse-names" : false, "suffix" : "" }, { "dropping-particle" : "", "family" : "Hedayati", "given" : "M. T.", "non-dropping-particle" : "", "parse-names" : false, "suffix" : "" }, { "dropping-particle" : "", "family" : "Hoek", "given" : "H. W.", "non-dropping-particle" : "", "parse-names" : false, "suffix" : "" }, { "dropping-particle" : "", "family" : "Skirbekk", "given" : "V.", "non-dropping-particle" : "", "parse-names" : false, "suffix" : "" }, { "dropping-particle" : "", "family" : "Hoff", "given" : "D. J.", "non-dropping-particle" : "", "parse-names" : false, "suffix" : "" }, { "dropping-particle" : "", "family" : "Horino", "given" : "M.", "non-dropping-particle" : "", "parse-names" : false, "suffix" : "" }, { "dropping-particle" : "", "family" : "Horita", "given" : "N.", "non-dropping-particle" : "", "parse-names" : false, "suffix" : "" }, { "dropping-particle" : "", "family" : "Hosgood", "given" : "H. D.", "non-dropping-particle" : "", "parse-names" : false, "suffix" : "" }, { "dropping-particle" : "", "family" : "Hoy", "given" : "D. G.", "non-dropping-particle" : "", "parse-names" : false, "suffix" : "" }, { "dropping-particle" : "", "family" : "Hsairi", "given" : "M.", "non-dropping-particle" : "", "parse-names" : false, "suffix" : "" }, { "dropping-particle" : "", "family" : "Huang", "given" : "H.", "non-dropping-particle" : "", "parse-names" : false, "suffix" : "" }, { "dropping-particle" : "", "family" : "Iburg", "given" : "K. M.", "non-dropping-particle" : "", "parse-names" : false, "suffix" : "" }, { "dropping-particle" : "", "family" : "Idrisov", "given" : "B. T.", "non-dropping-particle" : "", "parse-names" : false, "suffix" : "" }, { "dropping-particle" : "", "family" : "Kwan", "given" : "G. F.", "non-dropping-particle" : "", "parse-names" : false, "suffix" : "" }, { "dropping-particle" : "", "family" : "Innos", "given" : "K.", "non-dropping-particle" : "", "parse-names" : false, "suffix" : "" }, { "dropping-particle" : "", "family" : "Kawakami", "given" : "N.", "non-dropping-particle" : "", "parse-names" : false, "suffix" : "" }, { "dropping-particle" : "", "family" : "Shibuya", "given" : "K.", "non-dropping-particle" : "", "parse-names" : false, "suffix" : "" }, { "dropping-particle" : "", "family" : "Jacobsen", "given" : "K. H.", "non-dropping-particle" : "", "parse-names" : false, "suffix" : "" }, { "dropping-particle" : "", "family" : "Jayatilleke", "given" : "A. U.", "non-dropping-particle" : "", "parse-names" : false, "suffix" : "" }, { "dropping-particle" : "", "family" : "Jiang", "given" : "G.", "non-dropping-particle" : "", "parse-names" : false, "suffix" : "" }, { "dropping-particle" : "", "family" : "Jiang", "given" : "Y.", "non-dropping-particle" : "", "parse-names" : false, "suffix" : "" }, { "dropping-particle" : "", "family" : "Jimenez-Corona", "given" : "A.", "non-dropping-particle" : "", "parse-names" : false, "suffix" : "" }, { "dropping-particle" : "", "family" : "Jonas", "given" : "J. B.", "non-dropping-particle" : "", "parse-names" : false, "suffix" : "" }, { "dropping-particle" : "", "family" : "Kabir", "given" : "Z.", "non-dropping-particle" : "", "parse-names" : false, "suffix" : "" }, { "dropping-particle" : "", "family" : "Kajungu", "given" : "D. K.", "non-dropping-particle" : "", "parse-names" : false, "suffix" : "" }, { "dropping-particle" : "", "family" : "Kalkonde", "given" : "Y.", "non-dropping-particle" : "", "parse-names" : false, "suffix" : "" }, { "dropping-particle" : "", "family" : "Kamal", "given" : "R.", "non-dropping-particle" : "", "parse-names" : false, "suffix" : "" }, { "dropping-particle" : "", "family" : "Kesavachandran", "given" : "C. N.", "non-dropping-particle" : "", "parse-names" : false, "suffix" : "" }, { "dropping-particle" : "", "family" : "She", "given" : "J.", "non-dropping-particle" : "", "parse-names" : false, "suffix" : "" }, { "dropping-particle" : "", "family" : "Kan", "given" : "H.", "non-dropping-particle" : "", "parse-names" : false, "suffix" : "" }, { "dropping-particle" : "", "family" : "Kandel", "given" : "A.", "non-dropping-particle" : "", "parse-names" : false, "suffix" : "" }, { "dropping-particle" : "", "family" : "Karch", "given" : "A.", "non-dropping-particle" : "", "parse-names" : false, "suffix" : "" }, { "dropping-particle" : "", "family" : "Karimkhani", "given" : "C.", "non-dropping-particle" : "", "parse-names" : false, "suffix" : "" }, { "dropping-particle" : "", "family" : "Kaul", "given" : "A.", "non-dropping-particle" : "", "parse-names" : false, "suffix" : "" }, { "dropping-particle" : "", "family" : "Kazi", "given" : "D. S.", "non-dropping-particle" : "", "parse-names" : false, "suffix" : "" }, { "dropping-particle" : "", "family" : "Keiyoro", "given" : "P. N.", "non-dropping-particle" : "", "parse-names" : false, "suffix" : "" }, { "dropping-particle" : "", "family" : "Lyons", "given" : "R. A.", "non-dropping-particle" : "", "parse-names" : false, "suffix" : "" }, { "dropping-particle" : "", "family" : "Kengne", "given" : "A. P.", "non-dropping-particle" : "", "parse-names" : false, "suffix" : "" }, { "dropping-particle" : "", "family" : "Matzopoulos", "given" : "R.", "non-dropping-particle" : "", "parse-names" : false, "suffix" : "" }, { "dropping-particle" : "", "family" : "Wiysonge", "given" : "C. S.", "non-dropping-particle" : "", "parse-names" : false, "suffix" : "" }, { "dropping-particle" : "", "family" : "Stein", "given" : "D. J.", "non-dropping-particle" : "", "parse-names" : false, "suffix" : "" }, { "dropping-particle" : "", "family" : "Mayosi", "given" : "B. M.", "non-dropping-particle" : "", "parse-names" : false, "suffix" : "" }, { "dropping-particle" : "", "family" : "Keren", "given" : "A.", "non-dropping-particle" : "", "parse-names" : false, "suffix" : "" }, { "dropping-particle" : "", "family" : "Khader", "given" : "Y. S.", "non-dropping-particle" : "", "parse-names" : false, "suffix" : "" }, { "dropping-particle" : "", "family" : "Khan", "given" : "E. A.", "non-dropping-particle" : "", "parse-names" : false, "suffix" : "" }, { "dropping-particle" : "", "family" : "Khang", "given" : "Y. H.", "non-dropping-particle" : "", "parse-names" : false, "suffix" : "" }, { "dropping-particle" : "", "family" : "Won", "given" : "S.", "non-dropping-particle" : "", "parse-names" : false, "suffix" : "" }, { "dropping-particle" : "", "family" : "Khoja", "given" : "T. A.M.", "non-dropping-particle" : "", "parse-names" : false, "suffix" : "" }, { "dropping-particle" : "", "family" : "Khubchandani", "given" : "J.", "non-dropping-particle" : "", "parse-names" : false, "suffix" : "" }, { "dropping-particle" : "", "family" : "Kim", "given" : "C.", "non-dropping-particle" : "", "parse-names" : false, "suffix" : "" }, { "dropping-particle" : "", "family" : "Kim", "given" : "D.", "non-dropping-particle" : "", "parse-names" : false, "suffix" : "" }, { "dropping-particle" : "", "family" : "Kim", "given" : "Y. J.", "non-dropping-particle" : "", "parse-names" : false, "suffix" : "" }, { "dropping-particle" : "", "family" : "Skogen", "given" : "J. C.", "non-dropping-particle" : "", "parse-names" : false, "suffix" : "" }, { "dropping-particle" : "", "family" : "Savic", "given" : "M.", "non-dropping-particle" : "", "parse-names" : false, "suffix" : "" }, { "dropping-particle" : "", "family" : "Kokubo", "given" : "Y.", "non-dropping-particle" : "", "parse-names" : false, "suffix" : "" }, { "dropping-particle" : "", "family" : "Kolte", "given" : "D.", "non-dropping-particle" : "", "parse-names" : false, "suffix" : "" }, { "dropping-particle" : "", "family" : "Koul", "given" : "P. A.", "non-dropping-particle" : "", "parse-names" : false, "suffix" : "" }, { "dropping-particle" : "", "family" : "Koyanagi", "given" : "A.", "non-dropping-particle" : "", "parse-names" : false, "suffix" : "" }, { "dropping-particle" : "", "family" : "Kuate", "given" : "B.", "non-dropping-particle" : "", "parse-names" : false, "suffix" : "" }, { "dropping-particle" : "", "family" : "Kuchenbecker", "given" : "R. S.", "non-dropping-particle" : "", "parse-names" : false, "suffix" : "" }, { "dropping-particle" : "", "family" : "Kucuk", "given" : "B.", "non-dropping-particle" : "", "parse-names" : false, "suffix" : "" }, { "dropping-particle" : "", "family" : "Kuipers", "given" : "E. J.", "non-dropping-particle" : "", "parse-names" : false, "suffix" : "" }, { "dropping-particle" : "", "family" : "Lallukka", "given" : "T.", "non-dropping-particle" : "", "parse-names" : false, "suffix" : "" }, { "dropping-particle" : "", "family" : "Shiri", "given" : "R.", "non-dropping-particle" : "", "parse-names" : false, "suffix" : "" }, { "dropping-particle" : "", "family" : "Meretoja", "given" : "T. J.", "non-dropping-particle" : "", "parse-names" : false, "suffix" : "" }, { "dropping-particle" : "", "family" : "Latif", "given" : "A. A.", "non-dropping-particle" : "", "parse-names" : false, "suffix" : "" }, { "dropping-particle" : "", "family" : "Lavados", "given" : "P. M.", "non-dropping-particle" : "", "parse-names" : false, "suffix" : "" }, { "dropping-particle" : "", "family" : "Lawrynowicz", "given" : "A. E.B.", "non-dropping-particle" : "", "parse-names" : false, "suffix" : "" }, { "dropping-particle" : "", "family" : "Leasher", "given" : "J. L.", "non-dropping-particle" : "", "parse-names" : false, "suffix" : "" }, { "dropping-particle" : "", "family" : "Leung", "given" : "R.", "non-dropping-particle" : "", "parse-names" : false, "suffix" : "" }, { "dropping-particle" : "", "family" : "Li", "given" : "Y.", "non-dropping-particle" : "", "parse-names" : false, "suffix" : "" }, { "dropping-particle" : "", "family" : "Lipshultz", "given" : "S. E.", "non-dropping-particle" : "", "parse-names" : false, "suffix" : "" }, { "dropping-particle" : "", "family" : "Wilkinson", "given" : "J. D.", "non-dropping-particle" : "", "parse-names" : false, "suffix" : "" }, { "dropping-particle" : "", "family" : "Simard", "given" : "E. P.", "non-dropping-particle" : "", "parse-names" : false, "suffix" : "" }, { "dropping-particle" : "", "family" : "Liu", "given" : "Y.", "non-dropping-particle" : "", "parse-names" : false, "suffix" : "" }, { "dropping-particle" : "", "family" : "Phillips", "given" : "M. R.", "non-dropping-particle" : "", "parse-names" : false, "suffix" : "" }, { "dropping-particle" : "", "family" : "Logroscino", "given" : "G.", "non-dropping-particle" : "", "parse-names" : false, "suffix" : "" }, { "dropping-particle" : "", "family" : "Looker", "given" : "K. J.", "non-dropping-particle" : "", "parse-names" : false, "suffix" : "" }, { "dropping-particle" : "", "family" : "Rai", "given" : "D.", "non-dropping-particle" : "", "parse-names" : false, "suffix" : "" }, { "dropping-particle" : "", "family" : "Lunevicius", "given" : "R.", "non-dropping-particle" : "", "parse-names" : false, "suffix" : "" }, { "dropping-particle" : "", "family" : "Magdy", "given" : "H.", "non-dropping-particle" : "", "parse-names" : false, "suffix" : "" }, { "dropping-particle" : "", "family" : "Mahdavi", "given" : "M.", "non-dropping-particle" : "", "parse-names" : false, "suffix" : "" }, { "dropping-particle" : "", "family" : "Malta", "given" : "D. C.", "non-dropping-particle" : "", "parse-names" : false, "suffix" : "" }, { "dropping-particle" : "", "family" : "Marcenes", "given" : "W.", "non-dropping-particle" : "", "parse-names" : false, "suffix" : "" }, { "dropping-particle" : "", "family" : "Martinez-Raga", "given" : "J.", "non-dropping-particle" : "", "parse-names" : false, "suffix" : "" }, { "dropping-particle" : "", "family" : "Mason-Jones", "given" : "A. J.", "non-dropping-particle" : "", "parse-names" : false, "suffix" : "" }, { "dropping-particle" : "", "family" : "McKee", "given" : "M.", "non-dropping-particle" : "", "parse-names" : false, "suffix" : "" }, { "dropping-particle" : "", "family" : "Murthy", "given" : "G. V.S.", "non-dropping-particle" : "", "parse-names" : false, "suffix" : "" }, { "dropping-particle" : "", "family" : "Meaney", "given" : "P. A.", "non-dropping-particle" : "", "parse-names" : false, "suffix" : "" }, { "dropping-particle" : "", "family" : "Memiah", "given" : "P.", "non-dropping-particle" : "", "parse-names" : false, "suffix" : "" }, { "dropping-particle" : "", "family" : "Memish", "given" : "Z. A.", "non-dropping-particle" : "", "parse-names" : false, "suffix" : "" }, { "dropping-particle" : "", "family" : "Mendoza", "given" : "W.", "non-dropping-particle" : "", "parse-names" : false, "suffix" : "" }, { "dropping-particle" : "", "family" : "Mhimbira", "given" : "F. A.", "non-dropping-particle" : "", "parse-names" : false, "suffix" : "" }, { "dropping-particle" : "", "family" : "Miller", "given" : "T. R.", "non-dropping-particle" : "", "parse-names" : false, "suffix" : "" }, { "dropping-particle" : "", "family" : "Mills", "given" : "E. J.", "non-dropping-particle" : "", "parse-names" : false, "suffix" : "" }, { "dropping-particle" : "", "family" : "Mirrakhimov", "given" : "E. M.", "non-dropping-particle" : "", "parse-names" : false, "suffix" : "" }, { "dropping-particle" : "", "family" : "Mohammad", "given" : "K. A.", "non-dropping-particle" : "", "parse-names" : false, "suffix" : "" }, { "dropping-particle" : "", "family" : "Mohammadi", "given" : "A.", "non-dropping-particle" : "", "parse-names" : false, "suffix" : "" }, { "dropping-particle" : "", "family" : "Monasta", "given" : "L.", "non-dropping-particle" : "", "parse-names" : false, "suffix" : "" }, { "dropping-particle" : "", "family" : "Montico", "given" : "M.", "non-dropping-particle" : "", "parse-names" : false, "suffix" : "" }, { "dropping-particle" : "", "family" : "Ronfani", "given" : "L.", "non-dropping-particle" : "", "parse-names" : false, "suffix" : "" }, { "dropping-particle" : "", "family" : "Werdecker", "given" : "A.", "non-dropping-particle" : "", "parse-names" : false, "suffix" : "" }, { "dropping-particle" : "", "family" : "Mueller", "given" : "U. O.", "non-dropping-particle" : "", "parse-names" : false, "suffix" : "" }, { "dropping-particle" : "", "family" : "Westerman", "given" : "R.", "non-dropping-particle" : "", "parse-names" : false, "suffix" : "" }, { "dropping-particle" : "", "family" : "Murdoch", "given" : "M. E.", "non-dropping-particle" : "", "parse-names" : false, "suffix" : "" }, { "dropping-particle" : "", "family" : "Nachega", "given" : "J. B.", "non-dropping-particle" : "", "parse-names" : false, "suffix" : "" }, { "dropping-particle" : "", "family" : "Nachega", "given" : "J. B.", "non-dropping-particle" : "", "parse-names" : false, "suffix" : "" }, { "dropping-particle" : "", "family" : "Tran", "given" : "B. X.", "non-dropping-particle" : "", "parse-names" : false, "suffix" : "" }, { "dropping-particle" : "", "family" : "Naheed", "given" : "A.", "non-dropping-particle" : "", "parse-names" : false, "suffix" : "" }, { "dropping-particle" : "", "family" : "Naldi", "given" : "L.", "non-dropping-particle" : "", "parse-names" : false, "suffix" : "" }, { "dropping-particle" : "", "family" : "Nangia", "given" : "V.", "non-dropping-particle" : "", "parse-names" : false, "suffix" : "" }, { "dropping-particle" : "", "family" : "Ngalesoni", "given" : "F. N.", "non-dropping-particle" : "", "parse-names" : false, "suffix" : "" }, { "dropping-particle" : "", "family" : "Nguyen", "given" : "Q. L.", "non-dropping-particle" : "", "parse-names" : false, "suffix" : "" }, { "dropping-particle" : "", "family" : "Nkamedjie", "given" : "P. M.", "non-dropping-particle" : "", "parse-names" : false, "suffix" : "" }, { "dropping-particle" : "", "family" : "Nolla", "given" : "J. M.", "non-dropping-particle" : "", "parse-names" : false, "suffix" : "" }, { "dropping-particle" : "", "family" : "Norman", "given" : "R. E.", "non-dropping-particle" : "", "parse-names" : false, "suffix" : "" }, { "dropping-particle" : "", "family" : "Obermeyer", "given" : "C. M.", "non-dropping-particle" : "", "parse-names" : false, "suffix" : "" }, { "dropping-particle" : "", "family" : "Ogbo", "given" : "F. A.", "non-dropping-particle" : "", "parse-names" : false, "suffix" : "" }, { "dropping-particle" : "", "family" : "Oh", "given" : "I.", "non-dropping-particle" : "", "parse-names" : false, "suffix" : "" }, { "dropping-particle" : "", "family" : "Oladimeji", "given" : "O.", "non-dropping-particle" : "", "parse-names" : false, "suffix" : "" }, { "dropping-particle" : "", "family" : "Sartorius", "given" : "B.", "non-dropping-particle" : "", "parse-names" : false, "suffix" : "" }, { "dropping-particle" : "", "family" : "Olivares", "given" : "P. R.", "non-dropping-particle" : "", "parse-names" : false, "suffix" : "" }, { "dropping-particle" : "", "family" : "Olusanya", "given" : "B. O.", "non-dropping-particle" : "", "parse-names" : false, "suffix" : "" }, { "dropping-particle" : "", "family" : "Olusanya", "given" : "J. O.", "non-dropping-particle" : "", "parse-names" : false, "suffix" : "" }, { "dropping-particle" : "", "family" : "Oren", "given" : "E.", "non-dropping-particle" : "", "parse-names" : false, "suffix" : "" }, { "dropping-particle" : "", "family" : "Ortiz", "given" : "A.", "non-dropping-particle" : "", "parse-names" : false, "suffix" : "" }, { "dropping-particle" : "", "family" : "Ota", "given" : "E.", "non-dropping-particle" : "", "parse-names" : false, "suffix" : "" }, { "dropping-particle" : "", "family" : "Schutte", "given" : "A. E.", "non-dropping-particle" : "", "parse-names" : false, "suffix" : "" }, { "dropping-particle" : "", "family" : "Oyekale", "given" : "A. S.", "non-dropping-particle" : "", "parse-names" : false, "suffix" : "" }, { "dropping-particle" : "", "family" : "Pa", "given" : "M.", "non-dropping-particle" : "", "parse-names" : false, "suffix" : "" }, { "dropping-particle" : "", "family" : "Park", "given" : "E.", "non-dropping-particle" : "", "parse-names" : false, "suffix" : "" }, { "dropping-particle" : "", "family" : "Patten", "given" : "S. B.", "non-dropping-particle" : "", "parse-names" : false, "suffix" : "" }, { "dropping-particle" : "", "family" : "Tonelli", "given" : "M.", "non-dropping-particle" : "", "parse-names" : false, "suffix" : "" }, { "dropping-particle" : "", "family" : "Pereira", "given" : "D. M.", "non-dropping-particle" : "", "parse-names" : false, "suffix" : "" }, { "dropping-particle" : "", "family" : "Pesudovs", "given" : "K.", "non-dropping-particle" : "", "parse-names" : false, "suffix" : "" }, { "dropping-particle" : "", "family" : "Pillay", "given" : "J. D.", "non-dropping-particle" : "", "parse-names" : false, "suffix" : "" }, { "dropping-particle" : "", "family" : "Plass", "given" : "D.", "non-dropping-particle" : "", "parse-names" : false, "suffix" : "" }, { "dropping-particle" : "", "family" : "Polinder", "given" : "S.", "non-dropping-particle" : "", "parse-names" : false, "suffix" : "" }, { "dropping-particle" : "", "family" : "Prasad", "given" : "N. M.", "non-dropping-particle" : "", "parse-names" : false, "suffix" : "" }, { "dropping-particle" : "", "family" : "Qorbani", "given" : "M.", "non-dropping-particle" : "", "parse-names" : false, "suffix" : "" }, { "dropping-particle" : "", "family" : "Radfar", "given" : "A.", "non-dropping-particle" : "", "parse-names" : false, "suffix" : "" }, { "dropping-particle" : "", "family" : "Rafay", "given" : "A.", "non-dropping-particle" : "", "parse-names" : false, "suffix" : "" }, { "dropping-particle" : "", "family" : "Rahman", "given" : "M.", "non-dropping-particle" : "", "parse-names" : false, "suffix" : "" }, { "dropping-particle" : "", "family" : "Rahman", "given" : "S. U.", "non-dropping-particle" : "", "parse-names" : false, "suffix" : "" }, { "dropping-particle" : "", "family" : "Rai", "given" : "R. K.", "non-dropping-particle" : "", "parse-names" : false, "suffix" : "" }, { "dropping-particle" : "", "family" : "Rajsic", "given" : "S.", "non-dropping-particle" : "", "parse-names" : false, "suffix" : "" }, { "dropping-particle" : "", "family" : "Raju", "given" : "M.", "non-dropping-particle" : "", "parse-names" : false, "suffix" : "" }, { "dropping-particle" : "", "family" : "Ranganathan", "given" : "K.", "non-dropping-particle" : "", "parse-names" : false, "suffix" : "" }, { "dropping-particle" : "", "family" : "Refaat", "given" : "A. H.", "non-dropping-particle" : "", "parse-names" : false, "suffix" : "" }, { "dropping-particle" : "", "family" : "Ribeiro", "given" : "A. L.", "non-dropping-particle" : "", "parse-names" : false, "suffix" : "" }, { "dropping-particle" : "", "family" : "Ricci", "given" : "S.", "non-dropping-particle" : "", "parse-names" : false, "suffix" : "" }, { "dropping-particle" : "", "family" : "Rojas-Rueda", "given" : "D.", "non-dropping-particle" : "", "parse-names" : false, "suffix" : "" }, { "dropping-particle" : "", "family" : "Sackey", "given" : "B. B.", "non-dropping-particle" : "", "parse-names" : false, "suffix" : "" }, { "dropping-particle" : "", "family" : "Sanabria", "given" : "J. R.", "non-dropping-particle" : "", "parse-names" : false, "suffix" : "" }, { "dropping-particle" : "", "family" : "Sanchez-Ni\u00f1o", "given" : "M. D.", "non-dropping-particle" : "", "parse-names" : false, "suffix" : "" }, { "dropping-particle" : "", "family" : "Sarmiento-Suarez", "given" : "R.", "non-dropping-particle" : "", "parse-names" : false, "suffix" : "" }, { "dropping-particle" : "", "family" : "Sawhney", "given" : "M.", "non-dropping-particle" : "", "parse-names" : false, "suffix" : "" }, { "dropping-particle" : "", "family" : "Schneider", "given" : "I. J.C.", "non-dropping-particle" : "", "parse-names" : false, "suffix" : "" }, { "dropping-particle" : "", "family" : "Silva", "given" : "D. A.S.", "non-dropping-particle" : "", "parse-names" : false, "suffix" : "" }, { "dropping-particle" : "", "family" : "Schwebel", "given" : "D. C.", "non-dropping-particle" : "", "parse-names" : false, "suffix" : "" }, { "dropping-particle" : "", "family" : "Singh", "given" : "J. A.", "non-dropping-particle" : "", "parse-names" : false, "suffix" : "" }, { "dropping-particle" : "", "family" : "Shahraz", "given" : "S.", "non-dropping-particle" : "", "parse-names" : false, "suffix" : "" }, { "dropping-particle" : "", "family" : "Shaikh", "given" : "M. A.", "non-dropping-particle" : "", "parse-names" : false, "suffix" : "" }, { "dropping-particle" : "", "family" : "Sharma", "given" : "R.", "non-dropping-particle" : "", "parse-names" : false, "suffix" : "" }, { "dropping-particle" : "", "family" : "Shigematsu", "given" : "M.", "non-dropping-particle" : "", "parse-names" : false, "suffix" : "" }, { "dropping-particle" : "", "family" : "Shin", "given" : "M.", "non-dropping-particle" : "", "parse-names" : false, "suffix" : "" }, { "dropping-particle" : "", "family" : "Yoon", "given" : "S.", "non-dropping-particle" : "", "parse-names" : false, "suffix" : "" }, { "dropping-particle" : "", "family" : "Sigfusdottir", "given" : "I. D.", "non-dropping-particle" : "", "parse-names" : false, "suffix" : "" }, { "dropping-particle" : "", "family" : "Silverberg", "given" : "J. I.", "non-dropping-particle" : "", "parse-names" : false, "suffix" : "" }, { "dropping-particle" : "", "family" : "Yano", "given" : "Y.", "non-dropping-particle" : "", "parse-names" : false, "suffix" : "" }, { "dropping-particle" : "", "family" : "Singh", "given" : "P. K.", "non-dropping-particle" : "", "parse-names" : false, "suffix" : "" }, { "dropping-particle" : "", "family" : "S\u00f8reide", "given" : "K.", "non-dropping-particle" : "", "parse-names" : false, "suffix" : "" }, { "dropping-particle" : "", "family" : "Sreeramareddy", "given" : "C. T.", "non-dropping-particle" : "", "parse-names" : false, "suffix" : "" }, { "dropping-particle" : "", "family" : "Stathopoulou", "given" : "V.", "non-dropping-particle" : "", "parse-names" : false, "suffix" : "" }, { "dropping-particle" : "", "family" : "Stein", "given" : "M. B.", "non-dropping-particle" : "", "parse-names" : false, "suffix" : "" }, { "dropping-particle" : "", "family" : "Stovner", "given" : "L. J.", "non-dropping-particle" : "", "parse-names" : false, "suffix" : "" }, { "dropping-particle" : "", "family" : "Stranges", "given" : "S.", "non-dropping-particle" : "", "parse-names" : false, "suffix" : "" }, { "dropping-particle" : "", "family" : "Stroumpoulis", "given" : "K.", "non-dropping-particle" : "", "parse-names" : false, "suffix" : "" }, { "dropping-particle" : "", "family" : "Sunguya", "given" : "B. F.", "non-dropping-particle" : "", "parse-names" : false, "suffix" : "" }, { "dropping-particle" : "", "family" : "Swaminathan", "given" : "S.", "non-dropping-particle" : "", "parse-names" : false, "suffix" : "" }, { "dropping-particle" : "", "family" : "Sykes", "given" : "B. L.", "non-dropping-particle" : "", "parse-names" : false, "suffix" : "" }, { "dropping-particle" : "", "family" : "Tabar\u00e9s-Seisdedos", "given" : "R.", "non-dropping-particle" : "", "parse-names" : false, "suffix" : "" }, { "dropping-particle" : "", "family" : "Tanne", "given" : "D.", "non-dropping-particle" : "", "parse-names" : false, "suffix" : "" }, { "dropping-particle" : "", "family" : "Tavakkoli", "given" : "M.", "non-dropping-particle" : "", "parse-names" : false, "suffix" : "" }, { "dropping-particle" : "", "family" : "Taye", "given" : "B.", "non-dropping-particle" : "", "parse-names" : false, "suffix" : "" }, { "dropping-particle" : "", "family" : "Tuzcu", "given" : "E. M.", "non-dropping-particle" : "", "parse-names" : false, "suffix" : "" }, { "dropping-particle" : "", "family" : "Thakur", "given" : "J.", "non-dropping-particle" : "", "parse-names" : false, "suffix" : "" }, { "dropping-particle" : "", "family" : "Thomson", "given" : "A. J.", "non-dropping-particle" : "", "parse-names" : false, "suffix" : "" }, { "dropping-particle" : "", "family" : "Thurston", "given" : "G. D.", "non-dropping-particle" : "", "parse-names" : false, "suffix" : "" }, { "dropping-particle" : "", "family" : "Tobe-Gai", "given" : "R.", "non-dropping-particle" : "", "parse-names" : false, "suffix" : "" }, { "dropping-particle" : "", "family" : "Topor-Madry", "given" : "R.", "non-dropping-particle" : "", "parse-names" : false, "suffix" : "" }, { "dropping-particle" : "", "family" : "Topouzis", "given" : "F.", "non-dropping-particle" : "", "parse-names" : false, "suffix" : "" }, { "dropping-particle" : "", "family" : "Truelsen", "given" : "T.", "non-dropping-particle" : "", "parse-names" : false, "suffix" : "" }, { "dropping-particle" : "", "family" : "Tsala", "given" : "Z.", "non-dropping-particle" : "", "parse-names" : false, "suffix" : "" }, { "dropping-particle" : "", "family" : "Tsilimbaris", "given" : "M.", "non-dropping-particle" : "", "parse-names" : false, "suffix" : "" }, { "dropping-particle" : "", "family" : "Tyrovolas", "given" : "S.", "non-dropping-particle" : "", "parse-names" : false, "suffix" : "" }, { "dropping-particle" : "", "family" : "Ukwaja", "given" : "K. N.", "non-dropping-particle" : "", "parse-names" : false, "suffix" : "" }, { "dropping-particle" : "", "family" : "Uneke", "given" : "C. J.", "non-dropping-particle" : "", "parse-names" : false, "suffix" : "" }, { "dropping-particle" : "", "family" : "Uthman", "given" : "O. A.", "non-dropping-particle" : "", "parse-names" : false, "suffix" : "" }, { "dropping-particle" : "", "family" : "Gool", "given" : "C. H.", "non-dropping-particle" : "van", "parse-names" : false, "suffix" : "" }, { "dropping-particle" : "", "family" : "Os", "given" : "J.", "non-dropping-particle" : "van", "parse-names" : false, "suffix" : "" }, { "dropping-particle" : "", "family" : "Vasankari", "given" : "T.", "non-dropping-particle" : "", "parse-names" : false, "suffix" : "" }, { "dropping-particle" : "", "family" : "Vasconcelos", "given" : "A. M.N.", "non-dropping-particle" : "", "parse-names" : false, "suffix" : "" }, { "dropping-particle" : "", "family" : "Venketasubramanian", "given" : "N.", "non-dropping-particle" : "", "parse-names" : false, "suffix" : "" }, { "dropping-particle" : "", "family" : "Violante", "given" : "F. S.", "non-dropping-particle" : "", "parse-names" : false, "suffix" : "" }, { "dropping-particle" : "V.", "family" : "Vlassov", "given" : "V.", "non-dropping-particle" : "", "parse-names" : false, "suffix" : "" }, { "dropping-particle" : "", "family" : "Wallin", "given" : "M. T.", "non-dropping-particle" : "", "parse-names" : false, "suffix" : "" }, { "dropping-particle" : "", "family" : "Weichenthal", "given" : "S.", "non-dropping-particle" : "", "parse-names" : false, "suffix" : "" }, { "dropping-particle" : "", "family" : "Williams", "given" : "H. C.", "non-dropping-particle" : "", "parse-names" : false, "suffix" : "" }, { "dropping-particle" : "", "family" : "Woldeyohannes", "given" : "S. M.", "non-dropping-particle" : "", "parse-names" : false, "suffix" : "" }, { "dropping-particle" : "", "family" : "Xu", "given" : "G.", "non-dropping-particle" : "", "parse-names" : false, "suffix" : "" }, { "dropping-particle" : "", "family" : "Yakob", "given" : "B.", "non-dropping-particle" : "", "parse-names" : false, "suffix" : "" }, { "dropping-particle" : "", "family" : "Yan", "given" : "L. L.", "non-dropping-particle" : "", "parse-names" : false, "suffix" : "" }, { "dropping-particle" : "", "family" : "Yip", "given" : "P.", "non-dropping-particle" : "", "parse-names" : false, "suffix" : "" }, { "dropping-particle" : "", "family" : "Yonemoto", "given" : "N.", "non-dropping-particle" : "", "parse-names" : false, "suffix" : "" }, { "dropping-particle" : "", "family" : "Younis", "given" : "M. Z.", "non-dropping-particle" : "", "parse-names" : false, "suffix" : "" }, { "dropping-particle" : "", "family" : "Yu", "given" : "C.", "non-dropping-particle" : "", "parse-names" : false, "suffix" : "" }, { "dropping-particle" : "", "family" : "Zaidi", "given" : "Z.", "non-dropping-particle" : "", "parse-names" : false, "suffix" : "" }, { "dropping-particle" : "", "family" : "Zaki", "given" : "M. E.", "non-dropping-particle" : "", "parse-names" : false, "suffix" : "" }, { "dropping-particle" : "", "family" : "Zeeb", "given" : "H.", "non-dropping-particle" : "", "parse-names" : false, "suffix" : "" }, { "dropping-particle" : "", "family" : "Zuhlke", "given" : "L. J.", "non-dropping-particle" : "", "parse-names" : false, "suffix" : "" } ], "container-title" : "The Lancet", "id" : "ITEM-1", "issue" : "10053", "issued" : { "date-parts" : [ [ "2016" ] ] }, "page" : "1603-1658", "title" : "Global, regional, and national disability-adjusted life-years (DALYs) for 315 diseases and injuries and healthy life expectancy (HALE), 1990\u20132015: a systematic analysis for the Global Burden of Disease Study 2015", "type" : "article-journal", "volume" : "388" }, "uris" : [ "http://www.mendeley.com/documents/?uuid=1b442024-daaa-4966-973e-ef47fc29a5d7" ] } ], "mendeley" : { "formattedCitation" : "(Kassebaum et al., 2016)", "plainTextFormattedCitation" : "(Kassebaum et al., 2016)", "previouslyFormattedCitation" : "(Kassebaum et al., 2016)" }, "properties" : {  }, "schema" : "https://github.com/citation-style-language/schema/raw/master/csl-citation.json" }</w:instrText>
      </w:r>
      <w:r>
        <w:fldChar w:fldCharType="separate"/>
      </w:r>
      <w:bookmarkStart w:id="11" w:name="__Fieldmark__487_513475976"/>
      <w:r>
        <w:rPr>
          <w:rFonts w:ascii="Calibri" w:hAnsi="Calibri" w:asciiTheme="majorHAnsi" w:hAnsiTheme="majorHAnsi"/>
          <w:lang w:val="en-GB"/>
        </w:rPr>
        <w:t>(</w:t>
      </w:r>
      <w:bookmarkStart w:id="12" w:name="__Fieldmark__2129_903549581"/>
      <w:r>
        <w:rPr>
          <w:rFonts w:ascii="Calibri" w:hAnsi="Calibri" w:asciiTheme="majorHAnsi" w:hAnsiTheme="majorHAnsi"/>
          <w:lang w:val="en-GB"/>
        </w:rPr>
        <w:t>Kassebaum et al., 2016)</w:t>
      </w:r>
      <w:r>
        <w:rPr>
          <w:rFonts w:ascii="Calibri" w:hAnsi="Calibri" w:asciiTheme="majorHAnsi" w:hAnsiTheme="majorHAnsi"/>
          <w:lang w:val="en-GB"/>
        </w:rPr>
      </w:r>
      <w:r>
        <w:fldChar w:fldCharType="end"/>
      </w:r>
      <w:bookmarkEnd w:id="11"/>
      <w:bookmarkEnd w:id="12"/>
      <w:r>
        <w:rPr>
          <w:rFonts w:ascii="Calibri" w:hAnsi="Calibri" w:asciiTheme="majorHAnsi" w:hAnsiTheme="majorHAnsi"/>
          <w:lang w:val="en-GB"/>
        </w:rPr>
        <w:t xml:space="preserve">. Infectious diseases, along with maternal, perinatal and nutritional conditions, still remain the main cause of morbidity and mortality in Sub-Saharan African countries, where children under five is the most at-risk group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"mendeley" : { "formattedCitation" : "(Institute for Health Metrics and Evaluation and the International Centre for Humanitarian Affairs, 2016b)", "plainTextFormattedCitation" : "(Institute for Health Metrics and Evaluation and the International Centre for Humanitarian Affairs, 2016b)", "previouslyFormattedCitation" : "(Institute for Health Metrics and Evaluation and the International Centre for Humanitarian Affairs, 2016b)" }, "properties" : {  }, "schema" : "https://github.com/citation-style-language/schema/raw/master/csl-citation.json" }</w:instrText>
      </w:r>
      <w:r>
        <w:fldChar w:fldCharType="separate"/>
      </w:r>
      <w:bookmarkStart w:id="13" w:name="__Fieldmark__494_513475976"/>
      <w:r>
        <w:rPr>
          <w:rFonts w:ascii="Calibri" w:hAnsi="Calibri" w:asciiTheme="majorHAnsi" w:hAnsiTheme="majorHAnsi"/>
          <w:lang w:val="en-GB"/>
        </w:rPr>
        <w:t>(</w:t>
      </w:r>
      <w:bookmarkStart w:id="14" w:name="__Fieldmark__2142_903549581"/>
      <w:r>
        <w:rPr>
          <w:rFonts w:ascii="Calibri" w:hAnsi="Calibri" w:asciiTheme="majorHAnsi" w:hAnsiTheme="majorHAnsi"/>
          <w:lang w:val="en-GB"/>
        </w:rPr>
        <w:t>Institute for Health Metrics and Evaluation and the International Centre for Humanitarian Affairs, 2016b)</w:t>
      </w:r>
      <w:r>
        <w:rPr>
          <w:rFonts w:ascii="Calibri" w:hAnsi="Calibri" w:asciiTheme="majorHAnsi" w:hAnsiTheme="majorHAnsi"/>
          <w:lang w:val="en-GB"/>
        </w:rPr>
      </w:r>
      <w:r>
        <w:fldChar w:fldCharType="end"/>
      </w:r>
      <w:bookmarkEnd w:id="13"/>
      <w:bookmarkEnd w:id="14"/>
      <w:r>
        <w:rPr>
          <w:rFonts w:ascii="Calibri" w:hAnsi="Calibri" w:asciiTheme="majorHAnsi" w:hAnsiTheme="majorHAnsi"/>
          <w:lang w:val="en-GB"/>
        </w:rPr>
        <w:t>.</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w:t>
      </w:r>
      <w:ins w:id="92" w:author="Unknown Author" w:date="2018-04-12T10:47:00Z">
        <w:r>
          <w:rPr>
            <w:rFonts w:ascii="Calibri" w:hAnsi="Calibri" w:asciiTheme="majorHAnsi" w:hAnsiTheme="majorHAnsi"/>
            <w:lang w:val="en-GB"/>
          </w:rPr>
          <w:t>lion’s share</w:t>
        </w:r>
      </w:ins>
      <w:del w:id="93" w:author="Unknown Author" w:date="2018-04-12T10:47:00Z">
        <w:r>
          <w:rPr>
            <w:rFonts w:ascii="Calibri" w:hAnsi="Calibri" w:asciiTheme="majorHAnsi" w:hAnsiTheme="majorHAnsi"/>
            <w:lang w:val="en-GB"/>
          </w:rPr>
          <w:delText>main proportion</w:delText>
        </w:r>
      </w:del>
      <w:r>
        <w:rPr>
          <w:rFonts w:ascii="Calibri" w:hAnsi="Calibri" w:asciiTheme="majorHAnsi" w:hAnsiTheme="majorHAnsi"/>
          <w:lang w:val="en-GB"/>
        </w:rPr>
        <w:t xml:space="preserve"> of global DALYs due to infectious diseases is extremely concentrated in low- and middle-income countries (LMICs), Sub-Saharan Africa in particular (</w:t>
      </w:r>
      <w:r>
        <w:rPr>
          <w:rFonts w:ascii="Calibri" w:hAnsi="Calibri" w:asciiTheme="majorHAnsi" w:hAnsiTheme="majorHAnsi"/>
          <w:b/>
          <w:lang w:val="en-GB"/>
        </w:rPr>
        <w:t>Figure 1</w:t>
      </w:r>
      <w:r>
        <w:rPr>
          <w:rFonts w:ascii="Calibri" w:hAnsi="Calibri" w:asciiTheme="majorHAnsi" w:hAnsiTheme="majorHAnsi"/>
          <w:lang w:val="en-GB"/>
        </w:rPr>
        <w:t xml:space="preserve">). Within </w:t>
      </w:r>
      <w:del w:id="94" w:author="Unknown Author" w:date="2018-04-12T10:47: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poor countries, infectious diseases are more concentrated among the poorest individuals, who usually lack access to adequate sanitation and healthcare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"id" : "ITEM-2", "itemData" : { "DOI" : "10.1371/journal.pntd.0000332", "ISBN" : "1935-2735", "ISSN" : "1935-2735", "PMID" : "19238216", "abstract" : "To understand the molecular mechanisms that regulate cell cycle progression in eukaryotes, a variety of mathematical modeling approaches have been employed, ranging from Boolean networks and differential equations to stochastic simulations. Each approach has its own characteristic strengths and weaknesses. In this paper, we propose a \"standard component\" modeling strategy that combines advantageous features of Boolean networks, differential equations and stochastic simulations in a framework that acknowledges the typical sorts of reactions found in protein regulatory networks. Applying this strategy to a comprehensive mechanism of the budding yeast cell cycle, we illustrate the potential value of standard component modeling. The deterministic version of our model reproduces the phenotypic properties of wild-type cells and of 125 mutant strains. The stochastic version of our model reproduces the cell-to-cell variability of wild-type cells and the partial viability of the CLB2-dbDelta clb5Delta mutant strain. Our simulations show that mathematical modeling with \"standard components\" can capture in quantitative detail many essential properties of cell cycle control in budding yeast.", "author" : [ { "dropping-particle" : "", "family" : "Manderson", "given" : "Lenore", "non-dropping-particle" : "", "parse-names" : false, "suffix" : "" }, { "dropping-particle" : "", "family" : "Aagaard-Hansen", "given" : "Jens", "non-dropping-particle" : "", "parse-names" : false, "suffix" : "" }, { "dropping-particle" : "", "family" : "Allotey", "given" : "Pascale", "non-dropping-particle" : "", "parse-names" : false, "suffix" : "" }, { "dropping-particle" : "", "family" : "Gyapong", "given" : "Margaret", "non-dropping-particle" : "", "parse-names" : false, "suffix" : "" }, { "dropping-particle" : "", "family" : "Sommerfeld", "given" : "Johannes", "non-dropping-particle" : "", "parse-names" : false, "suffix" : "" } ], "container-title" : "PLoS Neglected Tropical Diseases", "id" : "ITEM-2", "issue" : "2", "issued" : { "date-parts" : [ [ "2009" ] ] }, "page" : "1-6", "title" : "Social research on neglected diseases of poverty: Continuing and emerging themes", "type" : "article-journal", "volume" : "3" }, "uris" : [ "http://www.mendeley.com/documents/?uuid=8a78d867-c264-46fc-a666-f18815968e1b" ] }, { "id" : "ITEM-3", "itemData" : { "author" : [ { "dropping-particle" : "", "family" : "World Health Organization", "given" : "", "non-dropping-particle" : "", "parse-names" : false, "suffix" : "" } ], "id" : "ITEM-3", "issued" : { "date-parts" : [ [ "2012" ] ] }, "title" : "Global report for research on infectious diseases of poverty", "type" : "report" }, "uris" : [ "http://www.mendeley.com/documents/?uuid=85056270-271e-444d-8f24-c004483456d4" ] } ], "mendeley" : { "formattedCitation" : "(Bhutta et al., 2014; Manderson et al., 2009; World Health Organization, 2012)", "plainTextFormattedCitation" : "(Bhutta et al., 2014; Manderson et al., 2009; World Health Organization, 2012)", "previouslyFormattedCitation" : "(Bhutta et al., 2014; Manderson et al., 2009; World Health Organization, 2012)" }, "properties" : {  }, "schema" : "https://github.com/citation-style-language/schema/raw/master/csl-citation.json" }</w:instrText>
      </w:r>
      <w:r>
        <w:fldChar w:fldCharType="separate"/>
      </w:r>
      <w:bookmarkStart w:id="15" w:name="__Fieldmark__505_513475976"/>
      <w:r>
        <w:rPr>
          <w:rFonts w:ascii="Calibri" w:hAnsi="Calibri" w:asciiTheme="majorHAnsi" w:hAnsiTheme="majorHAnsi"/>
          <w:lang w:val="en-GB"/>
        </w:rPr>
        <w:t>(</w:t>
      </w:r>
      <w:bookmarkStart w:id="16" w:name="__Fieldmark__2155_903549581"/>
      <w:r>
        <w:rPr>
          <w:rFonts w:ascii="Calibri" w:hAnsi="Calibri" w:asciiTheme="majorHAnsi" w:hAnsiTheme="majorHAnsi"/>
          <w:lang w:val="en-GB"/>
        </w:rPr>
        <w:t>Bhutta et al., 2014; Manderson et al., 2009; World Health Organization, 2012)</w:t>
      </w:r>
      <w:r>
        <w:rPr>
          <w:rFonts w:ascii="Calibri" w:hAnsi="Calibri" w:asciiTheme="majorHAnsi" w:hAnsiTheme="majorHAnsi"/>
          <w:lang w:val="en-GB"/>
        </w:rPr>
      </w:r>
      <w:r>
        <w:fldChar w:fldCharType="end"/>
      </w:r>
      <w:bookmarkEnd w:id="15"/>
      <w:bookmarkEnd w:id="16"/>
      <w:r>
        <w:rPr>
          <w:rFonts w:ascii="Calibri" w:hAnsi="Calibri" w:asciiTheme="majorHAnsi" w:hAnsiTheme="majorHAnsi"/>
          <w:lang w:val="en-GB"/>
        </w:rPr>
        <w:t xml:space="preserve">. Poorer individuals are also more vulnerable to labour market shocks that affect health status indirectly </w:t>
      </w:r>
      <w:r>
        <w:fldChar w:fldCharType="begin"/>
      </w:r>
      <w:r>
        <w:instrText>ADDIN CSL_CITATION { "citationItems" : [ { "id" : "ITEM-1", "itemData" : { "DOI" : "10.1016/j.healthpol.2012.04.007", "ISSN" : "0168-8510", "author" : [ { "dropping-particle" : "", "family" : "Costa-font", "given" : "Joan", "non-dropping-particle" : "", "parse-names" : false, "suffix" : "" }, { "dropping-particle" : "", "family" : "Hern\u00e1ndez-Quevedo", "given" : "Cristina", "non-dropping-particle" : "", "parse-names" : false, "suffix" : "" } ], "container-title" : "Health policy", "id" : "ITEM-1", "issue" : "2", "issued" : { "date-parts" : [ [ "2012" ] ] }, "page" : "195-206", "publisher" : "Elsevier Ireland Ltd", "title" : "Measuring inequalities in health: What do we know? What do we need to know?", "type" : "article-journal", "volume" : "106" }, "uris" : [ "http://www.mendeley.com/documents/?uuid=a7313382-9d17-40c1-aaae-aee8a39faaec" ] } ], "mendeley" : { "formattedCitation" : "(Costa-font and Hern\u00e1ndez-Quevedo, 2012)", "plainTextFormattedCitation" : "(Costa-font and Hern\u00e1ndez-Quevedo, 2012)", "previouslyFormattedCitation" : "(Costa-font and Hern\u00e1ndez-Quevedo, 2012)" }, "properties" : {  }, "schema" : "https://github.com/citation-style-language/schema/raw/master/csl-citation.json" }</w:instrText>
      </w:r>
      <w:r>
        <w:fldChar w:fldCharType="separate"/>
      </w:r>
      <w:bookmarkStart w:id="17" w:name="__Fieldmark__512_513475976"/>
      <w:r>
        <w:rPr>
          <w:rFonts w:ascii="Calibri" w:hAnsi="Calibri" w:asciiTheme="majorHAnsi" w:hAnsiTheme="majorHAnsi"/>
          <w:lang w:val="en-GB"/>
        </w:rPr>
        <w:t>(</w:t>
      </w:r>
      <w:bookmarkStart w:id="18" w:name="__Fieldmark__2161_903549581"/>
      <w:r>
        <w:rPr>
          <w:rFonts w:ascii="Calibri" w:hAnsi="Calibri" w:asciiTheme="majorHAnsi" w:hAnsiTheme="majorHAnsi"/>
          <w:lang w:val="en-GB"/>
        </w:rPr>
        <w:t>Costa-font and Hernández-Quevedo, 2012)</w:t>
      </w:r>
      <w:r>
        <w:rPr>
          <w:rFonts w:ascii="Calibri" w:hAnsi="Calibri" w:asciiTheme="majorHAnsi" w:hAnsiTheme="majorHAnsi"/>
          <w:lang w:val="en-GB"/>
        </w:rPr>
      </w:r>
      <w:r>
        <w:fldChar w:fldCharType="end"/>
      </w:r>
      <w:bookmarkEnd w:id="17"/>
      <w:bookmarkEnd w:id="18"/>
      <w:r>
        <w:rPr>
          <w:rFonts w:ascii="Calibri" w:hAnsi="Calibri" w:asciiTheme="majorHAnsi" w:hAnsiTheme="majorHAnsi"/>
          <w:lang w:val="en-GB"/>
        </w:rPr>
        <w:t xml:space="preserve">. Unemployment and precarious work, for example, are significant negative determinants of health </w:t>
      </w:r>
      <w:r>
        <w:fldChar w:fldCharType="begin"/>
      </w:r>
      <w:r>
        <w:instrText>ADDIN CSL_CITATION { "citationItems" : [ { "id" : "ITEM-1", "itemData" : { "DOI" : "10.1186/2049-9957-3-21", "ISBN" : "2049-9957 (Electronic)\\r2049-9957 (Linking)", "ISSN" : "2049-9957", "PMID" : "25110585", "abstract" : "Infectious diseases of poverty (IDoP) disproportionately affect the poorest population in the world and contribute to a cycle of poverty as a result of decreased productivity ensuing from long-term illness, disability, and social stigma. In 2010, the global deaths from HIV/AIDS have increased to 1.5 million and malaria mortality rose to 1.17 million. Mortality from neglected tropical diseases rose to 152,000, while tuberculosis killed 1.2 million people that same year. Substantial regional variations exist in the distribution of these diseases as they are primarily concentrated in rural areas of Sub-Saharan Africa, Asia, and Latin America, with geographic overlap and high levels of co-infection. Evidence-based interventions exist to prevent and control these diseases, however, the coverage still remains low with an emerging challenge of antimicrobial resistance. Therefore, community-based delivery platforms are increasingly being advocated to ensure sustainability and combat co-infections. Because of the high morbidity and mortality burden of these diseases, especially in resource-poor settings, it is imperative to conduct a systematic review to identify strategies to prevent and control these diseases. Therefore, we attempted to evaluate the effectiveness of one of these strategies, that is community-based delivery for the prevention and treatment of IDoP. In this paper, we describe the burden, epidemiology, and potential interventions for IDoP. In subsequent papers of this series, we describe the analytical framework and the methodology used to guide the systematic reviews, and report the findings and interpretations of our analyses of the impact of community-based strategies on individual IDoPs.", "author" : [ { "dropping-particle" : "", "family" : "Bhutta", "given" : "Zulfiqar A", "non-dropping-particle" : "", "parse-names" : false, "suffix" : "" }, { "dropping-particle" : "", "family" : "Sommerfeld", "given" : "Johannes", "non-dropping-particle" : "", "parse-names" : false, "suffix" : "" }, { "dropping-particle" : "", "family" : "Lassi", "given" : "Zohra S", "non-dropping-particle" : "", "parse-names" : false, "suffix" : "" }, { "dropping-particle" : "", "family" : "Salam", "given" : "Rehana A", "non-dropping-particle" : "", "parse-names" : false, "suffix" : "" }, { "dropping-particle" : "", "family" : "Das", "given" : "Jai K", "non-dropping-particle" : "", "parse-names" : false, "suffix" : "" } ], "container-title" : "Infectious Diseases of Poverty", "id" : "ITEM-1", "issue" : "1", "issued" : { "date-parts" : [ [ "2014" ] ] }, "page" : "21", "title" : "Global burden, distribution, and interventions for infectious diseases of poverty", "type" : "article-journal", "volume" : "3" }, "uris" : [ "http://www.mendeley.com/documents/?uuid=94f5719e-b043-4f0d-83e3-6b13eef2f223" ] } ], "mendeley" : { "formattedCitation" : "(Bhutta et al., 2014)", "plainTextFormattedCitation" : "(Bhutta et al., 2014)", "previouslyFormattedCitation" : "(Bhutta et al., 2014)" }, "properties" : {  }, "schema" : "https://github.com/citation-style-language/schema/raw/master/csl-citation.json" }</w:instrText>
      </w:r>
      <w:r>
        <w:fldChar w:fldCharType="separate"/>
      </w:r>
      <w:bookmarkStart w:id="19" w:name="__Fieldmark__519_513475976"/>
      <w:r>
        <w:rPr>
          <w:rFonts w:ascii="Calibri" w:hAnsi="Calibri" w:asciiTheme="majorHAnsi" w:hAnsiTheme="majorHAnsi"/>
          <w:lang w:val="en-GB"/>
        </w:rPr>
        <w:t>(</w:t>
      </w:r>
      <w:bookmarkStart w:id="20" w:name="__Fieldmark__2178_903549581"/>
      <w:r>
        <w:rPr>
          <w:rFonts w:ascii="Calibri" w:hAnsi="Calibri" w:asciiTheme="majorHAnsi" w:hAnsiTheme="majorHAnsi"/>
          <w:lang w:val="en-GB"/>
        </w:rPr>
        <w:t>Bhutta et al., 2014)</w:t>
      </w:r>
      <w:r>
        <w:rPr>
          <w:rFonts w:ascii="Calibri" w:hAnsi="Calibri" w:asciiTheme="majorHAnsi" w:hAnsiTheme="majorHAnsi"/>
          <w:lang w:val="en-GB"/>
        </w:rPr>
      </w:r>
      <w:r>
        <w:fldChar w:fldCharType="end"/>
      </w:r>
      <w:bookmarkEnd w:id="19"/>
      <w:bookmarkEnd w:id="20"/>
      <w:r>
        <w:rPr>
          <w:rFonts w:ascii="Calibri" w:hAnsi="Calibri" w:asciiTheme="majorHAnsi" w:hAnsiTheme="majorHAnsi"/>
          <w:lang w:val="en-GB"/>
        </w:rPr>
        <w:t xml:space="preserve">. This has strong implications </w:t>
      </w:r>
      <w:ins w:id="95" w:author="Unknown Author" w:date="2018-04-12T10:48:00Z">
        <w:r>
          <w:rPr>
            <w:rFonts w:ascii="Calibri" w:hAnsi="Calibri" w:asciiTheme="majorHAnsi" w:hAnsiTheme="majorHAnsi"/>
            <w:lang w:val="en-GB"/>
          </w:rPr>
          <w:t>for</w:t>
        </w:r>
      </w:ins>
      <w:del w:id="96" w:author="Unknown Author" w:date="2018-04-12T10:48:00Z">
        <w:r>
          <w:rPr>
            <w:rFonts w:ascii="Calibri" w:hAnsi="Calibri" w:asciiTheme="majorHAnsi" w:hAnsiTheme="majorHAnsi"/>
            <w:lang w:val="en-GB"/>
          </w:rPr>
          <w:delText xml:space="preserve">in terms of </w:delText>
        </w:r>
      </w:del>
      <w:r>
        <w:rPr>
          <w:rFonts w:ascii="Calibri" w:hAnsi="Calibri" w:asciiTheme="majorHAnsi" w:hAnsiTheme="majorHAnsi"/>
          <w:lang w:val="en-GB"/>
        </w:rPr>
        <w:t xml:space="preserve">equity, as individuals with lower socio-economic position face high labour market related risk, and  are likely to have poorer health status as a consequence of the limited access to healthcare due to low affordability and low engagement in preventive behaviours </w:t>
      </w:r>
      <w:r>
        <w:fldChar w:fldCharType="begin"/>
      </w:r>
      <w:r>
        <w:instrText>ADDIN CSL_CITATION { "citationItems" : [ { "id" : "ITEM-1", "itemData" : { "author" : [ { "dropping-particle" : "", "family" : "Dupas", "given" : "Pascaline", "non-dropping-particle" : "", "parse-names" : false, "suffix" : "" } ], "container-title" : "Annual Review of Economics", "id" : "ITEM-1", "issued" : { "date-parts" : [ [ "2011" ] ] }, "page" : "1-39", "title" : "Health Behavior in Developing Countries", "type" : "article-journal", "volume" : "3" }, "uris" : [ "http://www.mendeley.com/documents/?uuid=23414f9d-07d4-4476-afca-354989f2623d" ] } ], "mendeley" : { "formattedCitation" : "(Dupas, 2011)", "plainTextFormattedCitation" : "(Dupas, 2011)", "previouslyFormattedCitation" : "(Dupas, 2011)" }, "properties" : {  }, "schema" : "https://github.com/citation-style-language/schema/raw/master/csl-citation.json" }</w:instrText>
      </w:r>
      <w:r>
        <w:fldChar w:fldCharType="separate"/>
      </w:r>
      <w:bookmarkStart w:id="21" w:name="__Fieldmark__526_513475976"/>
      <w:r>
        <w:rPr>
          <w:rFonts w:ascii="Calibri" w:hAnsi="Calibri" w:asciiTheme="majorHAnsi" w:hAnsiTheme="majorHAnsi"/>
          <w:lang w:val="en-GB"/>
        </w:rPr>
        <w:t>(</w:t>
      </w:r>
      <w:bookmarkStart w:id="22" w:name="__Fieldmark__2193_903549581"/>
      <w:r>
        <w:rPr>
          <w:rFonts w:ascii="Calibri" w:hAnsi="Calibri" w:asciiTheme="majorHAnsi" w:hAnsiTheme="majorHAnsi"/>
          <w:lang w:val="en-GB"/>
        </w:rPr>
        <w:t>Dupas, 2011)</w:t>
      </w:r>
      <w:r>
        <w:rPr>
          <w:rFonts w:ascii="Calibri" w:hAnsi="Calibri" w:asciiTheme="majorHAnsi" w:hAnsiTheme="majorHAnsi"/>
          <w:lang w:val="en-GB"/>
        </w:rPr>
      </w:r>
      <w:r>
        <w:fldChar w:fldCharType="end"/>
      </w:r>
      <w:bookmarkEnd w:id="21"/>
      <w:bookmarkEnd w:id="22"/>
      <w:r>
        <w:rPr>
          <w:rFonts w:ascii="Calibri" w:hAnsi="Calibri" w:asciiTheme="majorHAnsi" w:hAnsiTheme="majorHAnsi"/>
          <w:lang w:val="en-GB"/>
        </w:rPr>
        <w:t xml:space="preserve">, or through worse-off living and working conditions </w:t>
      </w:r>
      <w:r>
        <w:fldChar w:fldCharType="begin"/>
      </w:r>
      <w:r>
        <w:instrText>ADDIN CSL_CITATION { "citationItems" : [ { "id" : "ITEM-1", "itemData" : { "author" : [ { "dropping-particle" : "", "family" : "Cookson", "given" : "Richard", "non-dropping-particle" : "", "parse-names" : false, "suffix" : "" }, { "dropping-particle" : "", "family" : "Propper", "given" : "Carol", "non-dropping-particle" : "", "parse-names" : false, "suffix" : "" }, { "dropping-particle" : "", "family" : "Asaria", "given" : "Miqdad", "non-dropping-particle" : "", "parse-names" : false, "suffix" : "" }, { "dropping-particle" : "", "family" : "Raine", "given" : "Rosalind", "non-dropping-particle" : "", "parse-names" : false, "suffix" : "" } ], "container-title" : "Fiscal Studies", "id" : "ITEM-1", "issue" : "3-4", "issued" : { "date-parts" : [ [ "2016" ] ] }, "page" : "371-403", "title" : "Socio-Economic Inequalities in Health Care in England", "type" : "article-journal", "volume" : "37" }, "uris" : [ "http://www.mendeley.com/documents/?uuid=c58480bd-e84a-4f78-8a7c-2b950304669b" ] } ], "mendeley" : { "formattedCitation" : "(Cookson et al., 2016)", "plainTextFormattedCitation" : "(Cookson et al., 2016)", "previouslyFormattedCitation" : "(Cookson et al., 2016)" }, "properties" : {  }, "schema" : "https://github.com/citation-style-language/schema/raw/master/csl-citation.json" }</w:instrText>
      </w:r>
      <w:r>
        <w:fldChar w:fldCharType="separate"/>
      </w:r>
      <w:bookmarkStart w:id="23" w:name="__Fieldmark__533_513475976"/>
      <w:r>
        <w:rPr>
          <w:rFonts w:ascii="Calibri" w:hAnsi="Calibri" w:asciiTheme="majorHAnsi" w:hAnsiTheme="majorHAnsi"/>
          <w:lang w:val="en-GB"/>
        </w:rPr>
        <w:t>(</w:t>
      </w:r>
      <w:bookmarkStart w:id="24" w:name="__Fieldmark__2199_903549581"/>
      <w:r>
        <w:rPr>
          <w:rFonts w:ascii="Calibri" w:hAnsi="Calibri" w:asciiTheme="majorHAnsi" w:hAnsiTheme="majorHAnsi"/>
          <w:lang w:val="en-GB"/>
        </w:rPr>
        <w:t>Cookson et al., 2016)</w:t>
      </w:r>
      <w:r>
        <w:rPr>
          <w:rFonts w:ascii="Calibri" w:hAnsi="Calibri" w:asciiTheme="majorHAnsi" w:hAnsiTheme="majorHAnsi"/>
          <w:lang w:val="en-GB"/>
        </w:rPr>
      </w:r>
      <w:r>
        <w:fldChar w:fldCharType="end"/>
      </w:r>
      <w:bookmarkEnd w:id="23"/>
      <w:bookmarkEnd w:id="24"/>
      <w:r>
        <w:rPr>
          <w:rFonts w:ascii="Calibri" w:hAnsi="Calibri" w:asciiTheme="majorHAnsi" w:hAnsiTheme="majorHAnsi"/>
          <w:lang w:val="en-GB"/>
        </w:rPr>
        <w:t xml:space="preserve">. </w:t>
      </w:r>
    </w:p>
    <w:p>
      <w:pPr>
        <w:pStyle w:val="Normal"/>
        <w:widowControl w:val="false"/>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bCs/>
                <w:lang w:val="en-GB"/>
              </w:rPr>
              <w:t xml:space="preserve">Figure 1. Percentage of total Disability-Adjusted Life Years (DALYs) due to infectious, maternal, neonatal and nutritional diseases in 2016 </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4753610"/>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tretch>
                            <a:fillRect/>
                          </a:stretch>
                        </pic:blipFill>
                        <pic:spPr bwMode="auto">
                          <a:xfrm>
                            <a:off x="0" y="0"/>
                            <a:ext cx="5612130" cy="4753610"/>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Institute for Health Metrics and Evaluation (IHME), GBD Compare. Available from:</w:t>
            </w:r>
            <w:r>
              <w:rPr>
                <w:rFonts w:ascii="Calibri" w:hAnsi="Calibri" w:asciiTheme="majorHAnsi" w:hAnsiTheme="majorHAnsi"/>
                <w:lang w:val="en-GB"/>
              </w:rPr>
              <w:t xml:space="preserve"> </w:t>
            </w:r>
            <w:hyperlink r:id="rId4">
              <w:r>
                <w:rPr>
                  <w:rStyle w:val="InternetLink"/>
                  <w:rFonts w:ascii="Calibri" w:hAnsi="Calibri" w:asciiTheme="majorHAnsi" w:hAnsiTheme="majorHAnsi"/>
                  <w:i/>
                  <w:lang w:val="en-GB"/>
                </w:rPr>
                <w:t>https://vizhub.healthdata.org/gbd-compare</w:t>
              </w:r>
            </w:hyperlink>
            <w:r>
              <w:rPr>
                <w:rFonts w:ascii="Calibri" w:hAnsi="Calibri" w:asciiTheme="majorHAnsi" w:hAnsiTheme="majorHAnsi"/>
                <w:i/>
                <w:lang w:val="en-GB"/>
              </w:rPr>
              <w:t xml:space="preserve"> [Accessed 4th December 2017]</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Among infectious diseases, vector-borne diseases represent one sixth of </w:t>
      </w:r>
      <w:del w:id="97" w:author="Unknown Author" w:date="2018-04-12T10:48: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worldwide disability and affect mostly the poorest individuals in the poorest countries </w:t>
      </w:r>
      <w:r>
        <w:fldChar w:fldCharType="begin"/>
      </w:r>
      <w:r>
        <w:instrText>ADDIN CSL_CITATION { "citationItems" : [ { "id" : "ITEM-1", "itemData" : { "author" : [ { "dropping-particle" : "", "family" : "World Health Organization", "given" : "", "non-dropping-particle" : "", "parse-names" : false, "suffix" : "" } ], "id" : "ITEM-1", "issued" : { "date-parts" : [ [ "2014" ] ] }, "title" : "A global brief on vector-borne diseases", "type" : "report" }, "uris" : [ "http://www.mendeley.com/documents/?uuid=60025725-588d-453a-8691-301dd9282559" ] } ], "mendeley" : { "formattedCitation" : "(World Health Organization, 2014a)", "plainTextFormattedCitation" : "(World Health Organization, 2014a)", "previouslyFormattedCitation" : "(World Health Organization, 2014a)" }, "properties" : {  }, "schema" : "https://github.com/citation-style-language/schema/raw/master/csl-citation.json" }</w:instrText>
      </w:r>
      <w:r>
        <w:fldChar w:fldCharType="separate"/>
      </w:r>
      <w:bookmarkStart w:id="25" w:name="__Fieldmark__558_513475976"/>
      <w:r>
        <w:rPr>
          <w:rFonts w:ascii="Calibri" w:hAnsi="Calibri" w:asciiTheme="majorHAnsi" w:hAnsiTheme="majorHAnsi"/>
          <w:lang w:val="en-GB"/>
        </w:rPr>
        <w:t>(</w:t>
      </w:r>
      <w:bookmarkStart w:id="26" w:name="__Fieldmark__2231_903549581"/>
      <w:r>
        <w:rPr>
          <w:rFonts w:ascii="Calibri" w:hAnsi="Calibri" w:asciiTheme="majorHAnsi" w:hAnsiTheme="majorHAnsi"/>
          <w:lang w:val="en-GB"/>
        </w:rPr>
        <w:t>World Health Organization, 2014a)</w:t>
      </w:r>
      <w:r>
        <w:rPr>
          <w:rFonts w:ascii="Calibri" w:hAnsi="Calibri" w:asciiTheme="majorHAnsi" w:hAnsiTheme="majorHAnsi"/>
          <w:lang w:val="en-GB"/>
        </w:rPr>
      </w:r>
      <w:r>
        <w:fldChar w:fldCharType="end"/>
      </w:r>
      <w:bookmarkEnd w:id="25"/>
      <w:bookmarkEnd w:id="26"/>
      <w:r>
        <w:rPr>
          <w:rFonts w:ascii="Calibri" w:hAnsi="Calibri" w:asciiTheme="majorHAnsi" w:hAnsiTheme="majorHAnsi"/>
          <w:lang w:val="en-GB"/>
        </w:rPr>
        <w:t>. They are transmitted to humans by different vectors, such as mosquitoes, sandflies, ticks or freshwater snails. Malaria, dengue, yellow fever, leishmaniasis and schistosomiasis are some of the most prevalent vector-borne diseases globally. Other infectious diseases</w:t>
      </w:r>
      <w:ins w:id="98" w:author="Unknown Author" w:date="2018-04-12T10:49:00Z">
        <w:r>
          <w:rPr>
            <w:rFonts w:ascii="Calibri" w:hAnsi="Calibri" w:asciiTheme="majorHAnsi" w:hAnsiTheme="majorHAnsi"/>
            <w:lang w:val="en-GB"/>
          </w:rPr>
          <w:t>,</w:t>
        </w:r>
      </w:ins>
      <w:del w:id="99" w:author="Unknown Author" w:date="2018-04-12T10:49:00Z">
        <w:r>
          <w:rPr>
            <w:rFonts w:ascii="Calibri" w:hAnsi="Calibri" w:asciiTheme="majorHAnsi" w:hAnsiTheme="majorHAnsi"/>
            <w:lang w:val="en-GB"/>
          </w:rPr>
          <w:delText xml:space="preserve"> are instead</w:delText>
        </w:r>
      </w:del>
      <w:r>
        <w:rPr>
          <w:rFonts w:ascii="Calibri" w:hAnsi="Calibri" w:asciiTheme="majorHAnsi" w:hAnsiTheme="majorHAnsi"/>
          <w:lang w:val="en-GB"/>
        </w:rPr>
        <w:t xml:space="preserve"> transmitted through direct contact between human beings</w:t>
      </w:r>
      <w:ins w:id="100" w:author="Unknown Author" w:date="2018-04-12T10:49:00Z">
        <w:r>
          <w:rPr>
            <w:rFonts w:ascii="Calibri" w:hAnsi="Calibri" w:asciiTheme="majorHAnsi" w:hAnsiTheme="majorHAnsi"/>
            <w:lang w:val="en-GB"/>
          </w:rPr>
          <w:t>,</w:t>
        </w:r>
      </w:ins>
      <w:del w:id="101" w:author="Unknown Author" w:date="2018-04-12T10:49:00Z">
        <w:r>
          <w:rPr>
            <w:rFonts w:ascii="Calibri" w:hAnsi="Calibri" w:asciiTheme="majorHAnsi" w:hAnsiTheme="majorHAnsi"/>
            <w:lang w:val="en-GB"/>
          </w:rPr>
          <w:delText>. Therefore, these infections</w:delText>
        </w:r>
      </w:del>
      <w:r>
        <w:rPr>
          <w:rFonts w:ascii="Calibri" w:hAnsi="Calibri" w:asciiTheme="majorHAnsi" w:hAnsiTheme="majorHAnsi"/>
          <w:lang w:val="en-GB"/>
        </w:rPr>
        <w:t xml:space="preserve"> are </w:t>
      </w:r>
      <w:ins w:id="102" w:author="Unknown Author" w:date="2018-04-12T10:49:00Z">
        <w:r>
          <w:rPr>
            <w:rFonts w:ascii="Calibri" w:hAnsi="Calibri" w:asciiTheme="majorHAnsi" w:hAnsiTheme="majorHAnsi"/>
            <w:lang w:val="en-GB"/>
          </w:rPr>
          <w:t xml:space="preserve">more </w:t>
        </w:r>
      </w:ins>
      <w:r>
        <w:rPr>
          <w:rFonts w:ascii="Calibri" w:hAnsi="Calibri" w:asciiTheme="majorHAnsi" w:hAnsiTheme="majorHAnsi"/>
          <w:lang w:val="en-GB"/>
        </w:rPr>
        <w:t>strictly</w:t>
      </w:r>
      <w:del w:id="103" w:author="Unknown Author" w:date="2018-04-12T10:49:00Z">
        <w:r>
          <w:rPr>
            <w:rFonts w:ascii="Calibri" w:hAnsi="Calibri" w:asciiTheme="majorHAnsi" w:hAnsiTheme="majorHAnsi"/>
            <w:lang w:val="en-GB"/>
          </w:rPr>
          <w:delText xml:space="preserve"> more</w:delText>
        </w:r>
      </w:del>
      <w:r>
        <w:rPr>
          <w:rFonts w:ascii="Calibri" w:hAnsi="Calibri" w:asciiTheme="majorHAnsi" w:hAnsiTheme="majorHAnsi"/>
          <w:lang w:val="en-GB"/>
        </w:rPr>
        <w:t xml:space="preserve"> linked to human behaviour than vector-borne diseases are. This is the case of human immunodeficiency virus (HIV), hepatitis and human papillomavirus (HPV), among many others. </w:t>
      </w:r>
      <w:del w:id="104" w:author="Unknown Author" w:date="2018-04-12T10:50:00Z">
        <w:r>
          <w:rPr>
            <w:rFonts w:ascii="Calibri" w:hAnsi="Calibri" w:asciiTheme="majorHAnsi" w:hAnsiTheme="majorHAnsi"/>
            <w:lang w:val="en-GB"/>
          </w:rPr>
          <w:delText>Interestingly,</w:delText>
        </w:r>
      </w:del>
      <w:r>
        <w:rPr>
          <w:rFonts w:ascii="Calibri" w:hAnsi="Calibri" w:asciiTheme="majorHAnsi" w:hAnsiTheme="majorHAnsi"/>
          <w:lang w:val="en-GB"/>
        </w:rPr>
        <w:t xml:space="preserve"> </w:t>
      </w:r>
      <w:del w:id="105" w:author="Unknown Author" w:date="2018-04-12T10:50:00Z">
        <w:r>
          <w:rPr>
            <w:rFonts w:ascii="Calibri" w:hAnsi="Calibri" w:asciiTheme="majorHAnsi" w:hAnsiTheme="majorHAnsi"/>
            <w:lang w:val="en-GB"/>
          </w:rPr>
          <w:delText>s</w:delText>
        </w:r>
      </w:del>
      <w:ins w:id="106" w:author="Unknown Author" w:date="2018-04-12T10:50:00Z">
        <w:r>
          <w:rPr>
            <w:rFonts w:ascii="Calibri" w:hAnsi="Calibri" w:asciiTheme="majorHAnsi" w:hAnsiTheme="majorHAnsi"/>
            <w:lang w:val="en-GB"/>
          </w:rPr>
          <w:t>S</w:t>
        </w:r>
      </w:ins>
      <w:ins w:id="107" w:author="Unknown Author" w:date="2018-04-12T10:50:00Z">
        <w:r>
          <w:rPr>
            <w:rFonts w:ascii="Calibri" w:hAnsi="Calibri" w:asciiTheme="majorHAnsi" w:hAnsiTheme="majorHAnsi"/>
            <w:lang w:val="en-GB"/>
          </w:rPr>
          <w:commentReference w:id="4"/>
        </w:r>
      </w:ins>
      <w:r>
        <w:rPr>
          <w:rFonts w:ascii="Calibri" w:hAnsi="Calibri" w:asciiTheme="majorHAnsi" w:hAnsiTheme="majorHAnsi"/>
          <w:lang w:val="en-GB"/>
        </w:rPr>
        <w:t>everal infections are risk</w:t>
      </w:r>
      <w:ins w:id="108" w:author="Unknown Author" w:date="2018-04-12T10:50:00Z">
        <w:r>
          <w:rPr>
            <w:rFonts w:ascii="Calibri" w:hAnsi="Calibri" w:asciiTheme="majorHAnsi" w:hAnsiTheme="majorHAnsi"/>
            <w:lang w:val="en-GB"/>
          </w:rPr>
          <w:t>s</w:t>
        </w:r>
      </w:ins>
      <w:r>
        <w:rPr>
          <w:rFonts w:ascii="Calibri" w:hAnsi="Calibri" w:asciiTheme="majorHAnsi" w:hAnsiTheme="majorHAnsi"/>
          <w:lang w:val="en-GB"/>
        </w:rPr>
        <w:t xml:space="preserve"> factor for non-communicable diseases such as several typologies of cancer, cardiovascular, neurological and autoimmune diseases (Ogoina and Onyemelukwe, 2009). The resulting co-existence of infectious and non-communicable diseases leads to additional challenges as well as to relevant costs to both the households and to the weak health systems of LMICs </w:t>
      </w:r>
      <w:r>
        <w:fldChar w:fldCharType="begin"/>
      </w:r>
      <w:r>
        <w:instrText>ADDIN CSL_CITATION { "citationItems" : [ { "id" : "ITEM-1", "itemData" : { "DOI" : "10.1186/1744-8603-5-9", "ISSN" : "1744-8603", "PMID" : "19751503", "abstract" : "BACKGROUND Africa is facing a rapidly growing chronic non-communicable disease burden whilst at the same time experiencing continual high rates of infectious disease. It is well known that some infections increase the risk of certain chronic diseases and the converse. With an increasing dual burden of disease in Sub Saharan Africa the associations between diseases and our understanding of them will become of increased public health importance. AIMS In this review we explore the relationships reported between tuberculosis and diabetes mellitus, human immunodeficiency virus, its treatment and metabolic risk. We aimed to address the important issues surrounding these associations within a Sub Saharan African setting and to describe the impact of globalization upon them. FINDINGS Diabetes has been associated with a 3-fold incident risk of tuberculosis and it is hypothesised that tuberculosis may also increase the risk of developing diabetes. During co-morbid presentation of tuberculosis and diabetes both tuberculosis and diabetes outcomes are reported to worsen. Antiretroviral therapy for HIV has been associated with an increased risk of developing metabolic syndrome and HIV has been linked with an increased risk of developing both diabetes and cardiovascular disease. Globalization is clearly related to an increased risk of diabetes and cardiovascular disease. It may be exerting other negative and positive impacts upon infectious and chronic non-communicable disease associations but at present reporting upon these is sparse. CONCLUSION The impact of these co-morbidities in Sub Saharan Africa is likely to be large. An increasing prevalence of diabetes may hinder efforts at tuberculosis control, increasing the number of susceptible individuals in populations where tuberculosis is endemic, and making successful treatment harder. Roll out of anti-retroviral treatment coverage within Sub Saharan Africa is an essential response to the HIV epidemic however it is likely to lead to a growing number of individuals suffering adverse metabolic consequences. One of the impacts of globalization is to create environments that increase both diabetes and cardiovascular risk but further work is needed to elucidate other potential impacts. Research is also needed to develop effective approaches to reducing the frequency and health impact of the co-morbidities described here.", "author" : [ { "dropping-particle" : "", "family" : "Young", "given" : "Fiona", "non-dropping-particle" : "", "parse-names" : false, "suffix" : "" }, { "dropping-particle" : "", "family" : "Critchley", "given" : "Julia A", "non-dropping-particle" : "", "parse-names" : false, "suffix" : "" }, { "dropping-particle" : "", "family" : "Johnstone", "given" : "Lucy K", "non-dropping-particle" : "", "parse-names" : false, "suffix" : "" }, { "dropping-particle" : "", "family" : "Unwin", "given" : "Nigel C", "non-dropping-particle" : "", "parse-names" : false, "suffix" : "" } ], "container-title" : "Globalization and health", "id" : "ITEM-1", "issue" : "1", "issued" : { "date-parts" : [ [ "2009", "9", "14" ] ] }, "page" : "9", "title" : "A review of co-morbidity between infectious and chronic disease in Sub Saharan Africa: TB and diabetes mellitus, HIV and metabolic syndrome, and the impact of globalization.", "type" : "article-journal", "volume" : "5" }, "uris" : [ "http://www.mendeley.com/documents/?uuid=a83ad77e-a48c-3f8c-b85b-018bc96c4f73" ] }, { "id" : "ITEM-2", "itemData" : { "DOI" : "10.2139/ssrn.1824392", "ISSN" : "1556-5068", "abstract" : "Health conditions in developing countries are becoming more like those in developed countries, with non-communicable diseases (NCDs) predominating and infectious diseases declining. The increased awareness of changing health needs, however, has not translated into significant shifts in resources or policy-level attention from international donors or governments in affected countries. Driven by changes in lifestyle related to nutrition, physical activity, and smoking, the surging burden of NCDs in poor countries portends painful choices, particularly for countries with weak health systems that are struggling to manage persistent infectious disease burdens and to protect the poor from excessive out-of-pocket expenses. Global development assistance for health (DAH) was estimated at $21.8 billion in 2007 (Ravishankar et al., 2009). A recent assessment shows that official development assistance for health reached $26.4 billion in 2008, surpassing all prior years (Kates et al., 2010). No specific mention is made of DAH for NCDs in developing countries in either study. This paper aims to fill that gap. We conducted an analysis of donor spending on NCDs in developing countries from 2001 to 2008 that reveals that less than 3 percent ($503 million out of $22 billion) of overall DAH was dedicated to NCDs in 2007. The amount of donor assistance for health rose to $686 million in 2008. In terms of the burden of disease, donors provided about $0.78/DALY attributable to NCDs in developing countries in 2007, compared to $23.9/DALY attributable to HIV, TB, and malaria. If donors provided just half the support to avoid NCD DALYs that they provide to the three infectious diseases, it would amount to almost $4 billion in DAH for NCDs. The picture of donor involvement in NCDs is not entirely bleak. Donor funding to developing countries for NCDs grew by 618 percent between 2001 and 2008, with the largest increase coming from private, non-profit donors, and evidence of accelerating interest from bilateral donors. Multilateral organizations remain the largest category of funders. Nonetheless, additional donor funding is needed to support developing-country efforts to incorporate NCDs into their existing health care programs through such mechanisms as hypertension and cancer screening and prevention programs, and proven policy solutions such as tobacco taxation and salt reduction.", "author" : [ { "dropping-particle" : "", "family" : "Nugent", "given" : "Rachel", "non-dropping-particle" : "", "parse-names" : false, "suffix" : "" }, { "dropping-particle" : "", "family" : "Feigl", "given" : "Andrea", "non-dropping-particle" : "", "parse-names" : false, "suffix" : "" } ], "container-title" : "Center for Global Development", "id" : "ITEM-2", "issue" : "November 2010", "issued" : { "date-parts" : [ [ "2010" ] ] }, "title" : "Where Have All the Donors Gone? Scarce Donor Funding for Non-Communicable Diseases Working Paper 228 November 2010", "type" : "article-journal" }, "uris" : [ "http://www.mendeley.com/documents/?uuid=4f7fe641-86c3-4d11-a45a-5fcfb5e54046" ] } ], "mendeley" : { "formattedCitation" : "(Young et al., 2009; Nugent and Feigl, 2010)", "plainTextFormattedCitation" : "(Young et al., 2009; Nugent and Feigl, 2010)", "previouslyFormattedCitation" : "(Young et al., 2009; Nugent and Feigl, 2010)" }, "properties" : {  }, "schema" : "https://github.com/citation-style-language/schema/raw/master/csl-citation.json" }</w:instrText>
      </w:r>
      <w:r>
        <w:fldChar w:fldCharType="separate"/>
      </w:r>
      <w:bookmarkStart w:id="27" w:name="__Fieldmark__565_513475976"/>
      <w:r>
        <w:rPr>
          <w:rFonts w:ascii="Calibri" w:hAnsi="Calibri" w:asciiTheme="majorHAnsi" w:hAnsiTheme="majorHAnsi"/>
          <w:lang w:val="en-GB"/>
        </w:rPr>
        <w:t>(</w:t>
      </w:r>
      <w:bookmarkStart w:id="28" w:name="__Fieldmark__2296_903549581"/>
      <w:r>
        <w:rPr>
          <w:rFonts w:ascii="Calibri" w:hAnsi="Calibri" w:asciiTheme="majorHAnsi" w:hAnsiTheme="majorHAnsi"/>
          <w:lang w:val="en-GB"/>
        </w:rPr>
        <w:t>Young et al., 2009; Nugent and Feigl, 2010)</w:t>
      </w:r>
      <w:r>
        <w:rPr>
          <w:rFonts w:ascii="Calibri" w:hAnsi="Calibri" w:asciiTheme="majorHAnsi" w:hAnsiTheme="majorHAnsi"/>
          <w:lang w:val="en-GB"/>
        </w:rPr>
      </w:r>
      <w:r>
        <w:fldChar w:fldCharType="end"/>
      </w:r>
      <w:bookmarkEnd w:id="27"/>
      <w:bookmarkEnd w:id="2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09" w:author="Unknown Author" w:date="2018-04-12T10:50:00Z">
        <w:r>
          <w:rPr>
            <w:rFonts w:ascii="Calibri" w:hAnsi="Calibri" w:asciiTheme="majorHAnsi" w:hAnsiTheme="majorHAnsi"/>
            <w:lang w:val="en-GB"/>
          </w:rPr>
          <w:t>D</w:t>
        </w:r>
      </w:ins>
      <w:ins w:id="110" w:author="Unknown Author" w:date="2018-04-12T10:50:00Z">
        <w:r>
          <w:rPr>
            <w:rFonts w:ascii="Calibri" w:hAnsi="Calibri" w:asciiTheme="majorHAnsi" w:hAnsiTheme="majorHAnsi"/>
            <w:lang w:val="en-GB"/>
          </w:rPr>
          <w:commentReference w:id="5"/>
        </w:r>
      </w:ins>
      <w:del w:id="111" w:author="Unknown Author" w:date="2018-04-12T10:50:00Z">
        <w:r>
          <w:rPr>
            <w:rFonts w:ascii="Calibri" w:hAnsi="Calibri" w:asciiTheme="majorHAnsi" w:hAnsiTheme="majorHAnsi"/>
            <w:lang w:val="en-GB"/>
          </w:rPr>
          <w:delText>During the last decades, d</w:delText>
        </w:r>
      </w:del>
      <w:r>
        <w:rPr>
          <w:rFonts w:ascii="Calibri" w:hAnsi="Calibri" w:asciiTheme="majorHAnsi" w:hAnsiTheme="majorHAnsi"/>
          <w:lang w:val="en-GB"/>
        </w:rPr>
        <w:t xml:space="preserve">ue to the high prevalence of infectious diseases and the vulnerability of the communities living in endemic areas, key global health indicators have been included in the former Millennium Development Goals (MDGs) and in the current Sustainable Development Goals (SDGs)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"mendeley" : { "formattedCitation" : "(United Nations, 2015)", "plainTextFormattedCitation" : "(United Nations, 2015)", "previouslyFormattedCitation" : "(United Nations, 2015)" }, "properties" : {  }, "schema" : "https://github.com/citation-style-language/schema/raw/master/csl-citation.json" }</w:instrText>
      </w:r>
      <w:r>
        <w:fldChar w:fldCharType="separate"/>
      </w:r>
      <w:bookmarkStart w:id="29" w:name="__Fieldmark__574_513475976"/>
      <w:r>
        <w:rPr>
          <w:rFonts w:ascii="Calibri" w:hAnsi="Calibri" w:asciiTheme="majorHAnsi" w:hAnsiTheme="majorHAnsi"/>
          <w:lang w:val="en-GB"/>
        </w:rPr>
        <w:t>(</w:t>
      </w:r>
      <w:bookmarkStart w:id="30" w:name="__Fieldmark__2332_903549581"/>
      <w:r>
        <w:rPr>
          <w:rFonts w:ascii="Calibri" w:hAnsi="Calibri" w:asciiTheme="majorHAnsi" w:hAnsiTheme="majorHAnsi"/>
          <w:lang w:val="en-GB"/>
        </w:rPr>
        <w:t>United Nations, 2015)</w:t>
      </w:r>
      <w:r>
        <w:rPr>
          <w:rFonts w:ascii="Calibri" w:hAnsi="Calibri" w:asciiTheme="majorHAnsi" w:hAnsiTheme="majorHAnsi"/>
          <w:lang w:val="en-GB"/>
        </w:rPr>
      </w:r>
      <w:r>
        <w:fldChar w:fldCharType="end"/>
      </w:r>
      <w:bookmarkEnd w:id="29"/>
      <w:bookmarkEnd w:id="30"/>
      <w:r>
        <w:rPr>
          <w:rFonts w:ascii="Calibri" w:hAnsi="Calibri" w:asciiTheme="majorHAnsi" w:hAnsiTheme="majorHAnsi"/>
          <w:lang w:val="en-GB"/>
        </w:rPr>
        <w:t xml:space="preserve">, an international agenda focusing on global challenges subscribed by all country members of the United Nations. Reducing child and maternal deaths, combating infectious diseases such as HIV, tuberculosis, malaria or other neglected tropical diseases (NTDs) and achieving equitable access to healthcare are among the global health aims included in the agenda </w:t>
      </w:r>
      <w:r>
        <w:fldChar w:fldCharType="begin"/>
      </w:r>
      <w:r>
        <w:instrText>ADDIN CSL_CITATION { "citationItems" : [ { "id" : "ITEM-1",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"ITEM-1", "issue" : "October", "issued" : { "date-parts" : [ [ "2015" ] ] }, "page" : "1-35", "title" : "Transforming our world: the 2030 Agenda for Sustainable Development", "type" : "article-journal", "volume" : "16301" }, "uris" : [ "http://www.mendeley.com/documents/?uuid=96b8c32d-8c48-459e-8f6e-e6d42ab573dc" ] }, { "id" : "ITEM-2",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"ITEM-2", "issue" : "1", "issued" : { "date-parts" : [ [ "2016" ] ] }, "page" : "1-20", "title" : "The economics of global health: an assessment", "type" : "article-journal", "volume" : "32" }, "uris" : [ "http://www.mendeley.com/documents/?uuid=ab73f0c9-eb20-4ec4-82e4-6680817a636a" ] } ], "mendeley" : { "formattedCitation" : "(United Nations, 2015; Farlow, 2016)", "plainTextFormattedCitation" : "(United Nations, 2015; Farlow, 2016)", "previouslyFormattedCitation" : "(United Nations, 2015; Farlow, 2016)" }, "properties" : {  }, "schema" : "https://github.com/citation-style-language/schema/raw/master/csl-citation.json" }</w:instrText>
      </w:r>
      <w:r>
        <w:fldChar w:fldCharType="separate"/>
      </w:r>
      <w:bookmarkStart w:id="31" w:name="__Fieldmark__581_513475976"/>
      <w:r>
        <w:rPr>
          <w:rFonts w:ascii="Calibri" w:hAnsi="Calibri" w:asciiTheme="majorHAnsi" w:hAnsiTheme="majorHAnsi"/>
          <w:lang w:val="en-GB"/>
        </w:rPr>
        <w:t>(</w:t>
      </w:r>
      <w:bookmarkStart w:id="32" w:name="__Fieldmark__2352_903549581"/>
      <w:r>
        <w:rPr>
          <w:rFonts w:ascii="Calibri" w:hAnsi="Calibri" w:asciiTheme="majorHAnsi" w:hAnsiTheme="majorHAnsi"/>
          <w:lang w:val="en-GB"/>
        </w:rPr>
        <w:t>United Nations, 2015; Farlow, 2016)</w:t>
      </w:r>
      <w:r>
        <w:rPr>
          <w:rFonts w:ascii="Calibri" w:hAnsi="Calibri" w:asciiTheme="majorHAnsi" w:hAnsiTheme="majorHAnsi"/>
          <w:lang w:val="en-GB"/>
        </w:rPr>
      </w:r>
      <w:r>
        <w:fldChar w:fldCharType="end"/>
      </w:r>
      <w:bookmarkEnd w:id="31"/>
      <w:bookmarkEnd w:id="32"/>
      <w:r>
        <w:rPr>
          <w:rFonts w:ascii="Calibri" w:hAnsi="Calibri" w:asciiTheme="majorHAnsi" w:hAnsiTheme="majorHAnsi"/>
          <w:lang w:val="en-GB"/>
        </w:rPr>
        <w:t xml:space="preserve">. </w:t>
      </w:r>
      <w:ins w:id="112" w:author="Unknown Author" w:date="2018-04-12T10:51:00Z">
        <w:r>
          <w:rPr>
            <w:rFonts w:ascii="Calibri" w:hAnsi="Calibri" w:asciiTheme="majorHAnsi" w:hAnsiTheme="majorHAnsi"/>
            <w:lang w:val="en-GB"/>
          </w:rPr>
          <w:t>I</w:t>
        </w:r>
      </w:ins>
      <w:del w:id="113" w:author="Unknown Author" w:date="2018-04-12T10:51:00Z">
        <w:r>
          <w:rPr>
            <w:rFonts w:ascii="Calibri" w:hAnsi="Calibri" w:asciiTheme="majorHAnsi" w:hAnsiTheme="majorHAnsi"/>
            <w:lang w:val="en-GB"/>
          </w:rPr>
          <w:delText>The i</w:delText>
        </w:r>
      </w:del>
      <w:r>
        <w:rPr>
          <w:rFonts w:ascii="Calibri" w:hAnsi="Calibri" w:asciiTheme="majorHAnsi" w:hAnsiTheme="majorHAnsi"/>
          <w:lang w:val="en-GB"/>
        </w:rPr>
        <w:t xml:space="preserve">nternational awareness on </w:t>
      </w:r>
      <w:del w:id="114" w:author="Unknown Author" w:date="2018-04-12T10:5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global health challenges has fostered the investments towards fighting, in some cases even eliminating or eradicating, infectious diseases.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ins w:id="115" w:author="Unknown Author" w:date="2018-04-12T10:52:00Z">
        <w:r>
          <w:rPr>
            <w:rFonts w:ascii="Calibri" w:hAnsi="Calibri" w:asciiTheme="majorHAnsi" w:hAnsiTheme="majorHAnsi"/>
            <w:lang w:val="en-GB"/>
          </w:rPr>
          <w:t>P</w:t>
        </w:r>
      </w:ins>
      <w:del w:id="116" w:author="Unknown Author" w:date="2018-04-12T10:52:00Z">
        <w:r>
          <w:rPr>
            <w:rFonts w:ascii="Calibri" w:hAnsi="Calibri" w:asciiTheme="majorHAnsi" w:hAnsiTheme="majorHAnsi"/>
            <w:lang w:val="en-GB"/>
          </w:rPr>
          <w:delText>This p</w:delText>
        </w:r>
      </w:del>
      <w:r>
        <w:rPr>
          <w:rFonts w:ascii="Calibri" w:hAnsi="Calibri" w:asciiTheme="majorHAnsi" w:hAnsiTheme="majorHAnsi"/>
          <w:lang w:val="en-GB"/>
        </w:rPr>
        <w:t>olitical commitment is not exempt from problems of restricted donor countries’ contributions, as a consequence of external financial shocks or domestic political lobb</w:t>
      </w:r>
      <w:ins w:id="117" w:author="Unknown Author" w:date="2018-04-12T10:52:00Z">
        <w:r>
          <w:rPr>
            <w:rFonts w:ascii="Calibri" w:hAnsi="Calibri" w:asciiTheme="majorHAnsi" w:hAnsiTheme="majorHAnsi"/>
            <w:lang w:val="en-GB"/>
          </w:rPr>
          <w:t>y</w:t>
        </w:r>
      </w:ins>
      <w:r>
        <w:rPr>
          <w:rFonts w:ascii="Calibri" w:hAnsi="Calibri" w:asciiTheme="majorHAnsi" w:hAnsiTheme="majorHAnsi"/>
          <w:lang w:val="en-GB"/>
        </w:rPr>
        <w:t xml:space="preserve">ing </w:t>
      </w:r>
      <w:r>
        <w:fldChar w:fldCharType="begin"/>
      </w:r>
      <w:r>
        <w:instrText>ADDIN CSL_CITATION { "citationItems" : [ { "id" : "ITEM-1", "itemData" : { "DOI" : "10.1016/j.ejpoleco.2013.08.003", "ISBN" : "0176-2680", "ISSN" : "01762680", "abstract" : "The recent global financial crisis placed new economic and fiscal pressures on donor countries that may have long-term effects on their ability and willingness to provide aid. Not only did donor-country incomes fall, but the cause of the drop - the banking and financial-sector crisis - may exacerbate the long-term effect on aid flows. This paper estimates how donor-country banking crises have affected aid flows in the past, using panel data from 24 donor countries between 1977 and 2010. We find that banking crises in donor countries are associated with a substantial additional fall in aid flows, beyond any income-related effects, at least in part because of the high fiscal costs of crisis and the debt hangover in the post-crisis periods. Aid flows from crisis-affected countries are estimated to fall by 28% or more (relative to the counterfactual) and to bottom out only about a decade after the banking crisis hits. In addition, our results confirm that donor-country incomes are robustly related to per-capita aid flows, with an elasticity of about 3. Findings are robust to estimation using either static or dynamic panel data methods to account for possible biases. Because many donor countries, which together provide two-thirds of aid, were hit hard by the global recession, this historical evidence indicates that aggregate aid could fall by a significant amount (again, relative to counterfactual) in the coming years. We also explore how crises affect different types of aid, such as social-sector and humanitarian aid, as well as whether strategic interaction among donors is likely to deepen or mitigate the fall in aid.\u00a9 2013 Elsevier B.V.", "author" : [ { "dropping-particle" : "", "family" : "Dang", "given" : "Hai Anh", "non-dropping-particle" : "", "parse-names" : false, "suffix" : "" }, { "dropping-particle" : "", "family" : "Knack", "given" : "Stephen", "non-dropping-particle" : "", "parse-names" : false, "suffix" : "" }, { "dropping-particle" : "", "family" : "Rogers", "given" : "F. Halsey", "non-dropping-particle" : "", "parse-names" : false, "suffix" : "" } ], "container-title" : "European Journal of Political Economy", "id" : "ITEM-1", "issued" : { "date-parts" : [ [ "2013" ] ] }, "page" : "232-250", "publisher" : "Elsevier B.V.", "title" : "International aid and financial crises in donor countries", "type" : "article-journal", "volume" : "32" }, "uris" : [ "http://www.mendeley.com/documents/?uuid=52571f1c-2f2e-4a36-a7e7-cba8435470cd" ] }, { "id" : "ITEM-2", "itemData" : { "author" : [ { "dropping-particle" : "", "family" : "Pincin", "given" : "Jared", "non-dropping-particle" : "", "parse-names" : false, "suffix" : "" } ], "container-title" : "Oxford Development Studies", "id" : "ITEM-2", "issue" : "3", "issued" : { "date-parts" : [ [ "2013" ] ] }, "page" : "372-390", "title" : "Political power and aid tying practices in the development assistance committee countries Jared", "type" : "article-journal", "volume" : "41" }, "uris" : [ "http://www.mendeley.com/documents/?uuid=22634c76-4cbf-42b7-9053-2c96878e9632" ] } ], "mendeley" : { "formattedCitation" : "(Dang et al., 2013; Pincin, 2013)", "plainTextFormattedCitation" : "(Dang et al., 2013; Pincin, 2013)", "previouslyFormattedCitation" : "(Dang et al., 2013; Pincin, 2013)" }, "properties" : {  }, "schema" : "https://github.com/citation-style-language/schema/raw/master/csl-citation.json" }</w:instrText>
      </w:r>
      <w:r>
        <w:fldChar w:fldCharType="separate"/>
      </w:r>
      <w:bookmarkStart w:id="33" w:name="__Fieldmark__590_513475976"/>
      <w:r>
        <w:rPr>
          <w:rFonts w:ascii="Calibri" w:hAnsi="Calibri" w:asciiTheme="majorHAnsi" w:hAnsiTheme="majorHAnsi"/>
          <w:lang w:val="en-GB"/>
        </w:rPr>
        <w:t>(</w:t>
      </w:r>
      <w:bookmarkStart w:id="34" w:name="__Fieldmark__2400_903549581"/>
      <w:r>
        <w:rPr>
          <w:rFonts w:ascii="Calibri" w:hAnsi="Calibri" w:asciiTheme="majorHAnsi" w:hAnsiTheme="majorHAnsi"/>
          <w:lang w:val="en-GB"/>
        </w:rPr>
        <w:t>Dang et al., 2013; Pincin, 2013)</w:t>
      </w:r>
      <w:r>
        <w:rPr>
          <w:rFonts w:ascii="Calibri" w:hAnsi="Calibri" w:asciiTheme="majorHAnsi" w:hAnsiTheme="majorHAnsi"/>
          <w:lang w:val="en-GB"/>
        </w:rPr>
      </w:r>
      <w:r>
        <w:fldChar w:fldCharType="end"/>
      </w:r>
      <w:bookmarkEnd w:id="33"/>
      <w:bookmarkEnd w:id="34"/>
      <w:r>
        <w:rPr>
          <w:rFonts w:ascii="Calibri" w:hAnsi="Calibri" w:asciiTheme="majorHAnsi" w:hAnsiTheme="majorHAnsi"/>
          <w:lang w:val="en-GB"/>
        </w:rPr>
        <w:t xml:space="preserve">, as well as from problems of recipient countries such as corruption or fund reallocations to other competing priorities such as education or agriculture </w:t>
      </w:r>
      <w:r>
        <w:fldChar w:fldCharType="begin"/>
      </w:r>
      <w:r>
        <w:instrText>ADDIN CSL_CITATION { "citationItems" : [ { "id" : "ITEM-1", "itemData" : { "ISSN" : "0254-8372", "abstract" : "This paper studies the relationship between donor governments' Official Development Assistance (ODA) decisions and corruption in recipient countries over the period 1999-2010. Previous studies found that donors do not penalize recipients on the basis of corruption. Using a rich panel data set, this paper estimates the effect of corruption on aid using donor-recipient fixed effects and disaggregating aid into sectors which may vary in sensitivity to corruption. Overall, there is a moderately significant, negative effect of corruption on aid. This relationship varies across sectors - corrupt recipients receive more humanitarian assistance and less production sector and social infrastructure aid.", "author" : [ { "dropping-particle" : "", "family" : "Lopez", "given" : "Lauren E", "non-dropping-particle" : "", "parse-names" : false, "suffix" : "" } ], "container-title" : "Journal of Economic Development", "id" : "ITEM-1", "issue" : "1", "issued" : { "date-parts" : [ [ "2015" ] ] }, "page" : "35-61", "title" : "Corruption and International Aid Allocation: a Complex Dance", "type" : "article-journal", "volume" : "40" }, "uris" : [ "http://www.mendeley.com/documents/?uuid=4797348c-dc13-4b52-ac44-74954064dd07" ] }, { "id" : "ITEM-2", "itemData" : { "DOI" : "10.1016/j.socscimed.2016.05.006", "ISSN" : "18735347", "PMID" : "27183131", "abstract" : "The amount of Development Assistance for Health (DAH) available to low- and middle-income countries has increased exponentially over the past decade. However, there are concerns that DAH increases have not resulted in increased spending on health at the country level. This is because DAH may be fungible, resulting from the recipient government decreasing its contribution to the health sector as a result of external funding. The aim of this research is to assess whether DAH funds in Tanzania are fungible, by exploring government substitution of its own resources across sectors and within the health sector.A database containing 28140 projects of DAH expenditure between 2000 and 2010 was compiled from the Organisation for Economic Co-operation and Development's Creditor Reporting System (OECD-CRS) and AidData databases. Government health expenditure data for the same period were obtained from the Government of Tanzania, World Bank, public expenditure reviews and budget speeches and analysed to assess the degree of government substitution. 22 semi-structured interviews were conducted with Development Partners (DPs), government and non-government stakeholders between April and June 2012 to explore stakeholder perceptions of fungibility.We found some evidence of substitution of government funds at the health sector and sub-sector levels and two mechanisms through which it takes place: the resource allocation process and macro-economic factors. We found fungibility of external funds may not necessarily be detrimental to Tanzania's development (as evidence suggests the funds displaced may be reallocated to education) and the mechanisms used by DPs to prevent substitution were largely ineffective.We recommend DPs engage more effectively in the priority-setting process, not just with the Ministry of Health and Social Welfare (MoHSW), but also with the Ministry of Finance, to agree on priorities and mutual funding responsibilities at a macroeconomic level. We also call for more qualitative research on fungibility.", "author" : [ { "dropping-particle" : "", "family" : "Mart\u00ednez \u00c1lvarez", "given" : "Melisa", "non-dropping-particle" : "", "parse-names" : false, "suffix" : "" }, { "dropping-particle" : "", "family" : "Borghi", "given" : "Josephine", "non-dropping-particle" : "", "parse-names" : false, "suffix" : "" }, { "dropping-particle" : "", "family" : "Acharya", "given" : "Arnab", "non-dropping-particle" : "", "parse-names" : false, "suffix" : "" }, { "dropping-particle" : "", "family" : "Vassall", "given" : "Anna", "non-dropping-particle" : "", "parse-names" : false, "suffix" : "" } ], "container-title" : "Social Science and Medicine", "id" : "ITEM-2", "issued" : { "date-parts" : [ [ "2016" ] ] }, "page" : "161-169", "title" : "Is Development Assistance for Health fungible? Findings from a mixed methods case study in Tanzania", "type" : "article-journal", "volume" : "159" }, "uris" : [ "http://www.mendeley.com/documents/?uuid=d750fe00-32aa-4e24-8d0f-f32c9f18f6e6" ] } ], "mendeley" : { "formattedCitation" : "(Lopez, 2015; Mart\u00ednez \u00c1lvarez et al., 2016)", "plainTextFormattedCitation" : "(Lopez, 2015; Mart\u00ednez \u00c1lvarez et al., 2016)", "previouslyFormattedCitation" : "(Lopez, 2015; Mart\u00ednez \u00c1lvarez et al., 2016)" }, "properties" : {  }, "schema" : "https://github.com/citation-style-language/schema/raw/master/csl-citation.json" }</w:instrText>
      </w:r>
      <w:r>
        <w:fldChar w:fldCharType="separate"/>
      </w:r>
      <w:bookmarkStart w:id="35" w:name="__Fieldmark__597_513475976"/>
      <w:r>
        <w:rPr>
          <w:rFonts w:ascii="Calibri" w:hAnsi="Calibri" w:asciiTheme="majorHAnsi" w:hAnsiTheme="majorHAnsi"/>
          <w:lang w:val="en-GB"/>
        </w:rPr>
        <w:t>(</w:t>
      </w:r>
      <w:bookmarkStart w:id="36" w:name="__Fieldmark__2421_903549581"/>
      <w:r>
        <w:rPr>
          <w:rFonts w:ascii="Calibri" w:hAnsi="Calibri" w:asciiTheme="majorHAnsi" w:hAnsiTheme="majorHAnsi"/>
          <w:lang w:val="en-GB"/>
        </w:rPr>
        <w:t>Lopez, 2015; Martínez Álvarez et al., 2016)</w:t>
      </w:r>
      <w:r>
        <w:rPr>
          <w:rFonts w:ascii="Calibri" w:hAnsi="Calibri" w:asciiTheme="majorHAnsi" w:hAnsiTheme="majorHAnsi"/>
          <w:lang w:val="en-GB"/>
        </w:rPr>
      </w:r>
      <w:r>
        <w:fldChar w:fldCharType="end"/>
      </w:r>
      <w:bookmarkEnd w:id="35"/>
      <w:bookmarkEnd w:id="36"/>
      <w:r>
        <w:rPr>
          <w:rFonts w:ascii="Calibri" w:hAnsi="Calibri" w:asciiTheme="majorHAnsi" w:hAnsiTheme="majorHAnsi"/>
          <w:lang w:val="en-GB"/>
        </w:rPr>
        <w:t xml:space="preserve">. However, from 1990 until the economic recession of 2007 </w:t>
      </w:r>
      <w:del w:id="118" w:author="Unknown Author" w:date="2018-04-12T10:52: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international financial aid </w:t>
      </w:r>
      <w:del w:id="119" w:author="Unknown Author" w:date="2018-04-12T10:52:00Z">
        <w:r>
          <w:rPr>
            <w:rFonts w:ascii="Calibri" w:hAnsi="Calibri" w:asciiTheme="majorHAnsi" w:hAnsiTheme="majorHAnsi"/>
            <w:lang w:val="en-GB"/>
          </w:rPr>
          <w:delText>given by governments and international agencies</w:delText>
        </w:r>
      </w:del>
      <w:r>
        <w:rPr>
          <w:rFonts w:ascii="Calibri" w:hAnsi="Calibri" w:asciiTheme="majorHAnsi" w:hAnsiTheme="majorHAnsi"/>
          <w:lang w:val="en-GB"/>
        </w:rPr>
        <w:t xml:space="preserve"> to support the development of healthcare in LMICs (known as Development Assistance for Health) has increased exponentially, targeting particularly the control programmes of HIV, malaria and tuberculosis among other health areas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"mendeley" : { "formattedCitation" : "(Farlow, 2016)", "plainTextFormattedCitation" : "(Farlow, 2016)", "previouslyFormattedCitation" : "(Farlow, 2016)" }, "properties" : {  }, "schema" : "https://github.com/citation-style-language/schema/raw/master/csl-citation.json" }</w:instrText>
      </w:r>
      <w:r>
        <w:fldChar w:fldCharType="separate"/>
      </w:r>
      <w:bookmarkStart w:id="37" w:name="__Fieldmark__604_513475976"/>
      <w:r>
        <w:rPr>
          <w:rFonts w:ascii="Calibri" w:hAnsi="Calibri" w:asciiTheme="majorHAnsi" w:hAnsiTheme="majorHAnsi"/>
          <w:lang w:val="en-GB"/>
        </w:rPr>
        <w:t>(</w:t>
      </w:r>
      <w:bookmarkStart w:id="38" w:name="__Fieldmark__2448_903549581"/>
      <w:r>
        <w:rPr>
          <w:rFonts w:ascii="Calibri" w:hAnsi="Calibri" w:asciiTheme="majorHAnsi" w:hAnsiTheme="majorHAnsi"/>
          <w:lang w:val="en-GB"/>
        </w:rPr>
        <w:t>Farlow, 2016)</w:t>
      </w:r>
      <w:r>
        <w:rPr>
          <w:rFonts w:ascii="Calibri" w:hAnsi="Calibri" w:asciiTheme="majorHAnsi" w:hAnsiTheme="majorHAnsi"/>
          <w:lang w:val="en-GB"/>
        </w:rPr>
      </w:r>
      <w:r>
        <w:fldChar w:fldCharType="end"/>
      </w:r>
      <w:bookmarkEnd w:id="37"/>
      <w:bookmarkEnd w:id="38"/>
      <w:r>
        <w:rPr>
          <w:rFonts w:ascii="Calibri" w:hAnsi="Calibri" w:asciiTheme="majorHAnsi" w:hAnsiTheme="majorHAnsi"/>
          <w:lang w:val="en-GB"/>
        </w:rPr>
        <w:t xml:space="preserve">. This led to a substantial increase in access to prevention and treatment. However, several challenges related to the control of infectious diseases still persist. Dye identifies three limits to infectious diseases control </w:t>
      </w:r>
      <w:r>
        <w:fldChar w:fldCharType="begin"/>
      </w:r>
      <w:r>
        <w:instrText>ADDIN CSL_CITATION { "citationItems" : [ { "id" : "ITEM-1", "itemData" : { "author" : [ { "dropping-particle" : "", "family" : "Dye", "given" : "Christopher", "non-dropping-particle" : "", "parse-names" : false, "suffix" : "" } ], "container-title" : "Philosophical Transactions of The Royal Society B", "id" : "ITEM-1", "issue" : "20130426", "issued" : { "date-parts" : [ [ "2015" ] ] }, "title" : "After 2015 : infectious diseases in a new era of health and development After 2015 : infectious diseases in a new era of health and development", "type" : "article-journal", "volume" : "369" }, "uris" : [ "http://www.mendeley.com/documents/?uuid=3b193fd1-16f0-4f6f-8a5e-b4d24d59a539" ] } ], "mendeley" : { "formattedCitation" : "(Dye, 2015)", "plainTextFormattedCitation" : "(Dye, 2015)", "previouslyFormattedCitation" : "(Dye, 2015)" }, "properties" : {  }, "schema" : "https://github.com/citation-style-language/schema/raw/master/csl-citation.json" }</w:instrText>
      </w:r>
      <w:r>
        <w:fldChar w:fldCharType="separate"/>
      </w:r>
      <w:bookmarkStart w:id="39" w:name="__Fieldmark__611_513475976"/>
      <w:r>
        <w:rPr>
          <w:rFonts w:ascii="Calibri" w:hAnsi="Calibri" w:asciiTheme="majorHAnsi" w:hAnsiTheme="majorHAnsi"/>
          <w:lang w:val="en-GB"/>
        </w:rPr>
        <w:t>(</w:t>
      </w:r>
      <w:bookmarkStart w:id="40" w:name="__Fieldmark__2468_903549581"/>
      <w:r>
        <w:rPr>
          <w:rFonts w:ascii="Calibri" w:hAnsi="Calibri" w:asciiTheme="majorHAnsi" w:hAnsiTheme="majorHAnsi"/>
          <w:lang w:val="en-GB"/>
        </w:rPr>
        <w:t>Dye, 2015)</w:t>
      </w:r>
      <w:r>
        <w:rPr>
          <w:rFonts w:ascii="Calibri" w:hAnsi="Calibri" w:asciiTheme="majorHAnsi" w:hAnsiTheme="majorHAnsi"/>
          <w:lang w:val="en-GB"/>
        </w:rPr>
      </w:r>
      <w:r>
        <w:fldChar w:fldCharType="end"/>
      </w:r>
      <w:bookmarkEnd w:id="39"/>
      <w:bookmarkEnd w:id="40"/>
      <w:r>
        <w:rPr>
          <w:rFonts w:ascii="Calibri" w:hAnsi="Calibri" w:asciiTheme="majorHAnsi" w:hAnsiTheme="majorHAnsi"/>
          <w:lang w:val="en-GB"/>
        </w:rPr>
        <w:t>: (1) the slow, costly and challenging development and implementation of new and old technologies on immunisation and the fight against drug-resistance, (2) the long time to deploy  the already existing effective tools and, (3) the vast population growth driven by high fertility rates in LMIC where infectious disease burden is largely concentrated among the youngest.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Thus, the challenges of global health are not only to innovate through developing effective tools, but also </w:t>
      </w:r>
      <w:del w:id="120" w:author="Unknown Author" w:date="2018-04-12T10:53:00Z">
        <w:r>
          <w:rPr>
            <w:rFonts w:ascii="Calibri" w:hAnsi="Calibri" w:asciiTheme="majorHAnsi" w:hAnsiTheme="majorHAnsi"/>
            <w:lang w:val="en-GB"/>
          </w:rPr>
          <w:delText>making</w:delText>
        </w:r>
      </w:del>
      <w:ins w:id="121" w:author="Unknown Author" w:date="2018-04-12T10:53:00Z">
        <w:r>
          <w:rPr>
            <w:rFonts w:ascii="Calibri" w:hAnsi="Calibri" w:asciiTheme="majorHAnsi" w:hAnsiTheme="majorHAnsi"/>
            <w:lang w:val="en-GB"/>
          </w:rPr>
          <w:t>to make</w:t>
        </w:r>
      </w:ins>
      <w:r>
        <w:rPr>
          <w:rFonts w:ascii="Calibri" w:hAnsi="Calibri" w:asciiTheme="majorHAnsi" w:hAnsiTheme="majorHAnsi"/>
          <w:lang w:val="en-GB"/>
        </w:rPr>
        <w:t xml:space="preserve"> them </w:t>
      </w:r>
      <w:del w:id="122" w:author="Unknown Author" w:date="2018-04-12T10:53:00Z">
        <w:r>
          <w:rPr>
            <w:rFonts w:ascii="Calibri" w:hAnsi="Calibri" w:asciiTheme="majorHAnsi" w:hAnsiTheme="majorHAnsi"/>
            <w:lang w:val="en-GB"/>
          </w:rPr>
          <w:delText>at the</w:delText>
        </w:r>
      </w:del>
      <w:ins w:id="123" w:author="Unknown Author" w:date="2018-04-12T10:53:00Z">
        <w:r>
          <w:rPr>
            <w:rFonts w:ascii="Calibri" w:hAnsi="Calibri" w:asciiTheme="majorHAnsi" w:hAnsiTheme="majorHAnsi"/>
            <w:lang w:val="en-GB"/>
          </w:rPr>
          <w:t>within</w:t>
        </w:r>
      </w:ins>
      <w:r>
        <w:rPr>
          <w:rFonts w:ascii="Calibri" w:hAnsi="Calibri" w:asciiTheme="majorHAnsi" w:hAnsiTheme="majorHAnsi"/>
          <w:lang w:val="en-GB"/>
        </w:rPr>
        <w:t xml:space="preserve"> reach of the worldwide population. </w:t>
      </w:r>
      <w:ins w:id="124" w:author="Unknown Author" w:date="2018-04-12T10:54:00Z">
        <w:r>
          <w:rPr>
            <w:rFonts w:ascii="Calibri" w:hAnsi="Calibri" w:asciiTheme="majorHAnsi" w:hAnsiTheme="majorHAnsi"/>
            <w:lang w:val="en-GB"/>
          </w:rPr>
          <w:t>S</w:t>
        </w:r>
      </w:ins>
      <w:del w:id="125" w:author="Unknown Author" w:date="2018-04-12T10:54:00Z">
        <w:r>
          <w:rPr>
            <w:rFonts w:ascii="Calibri" w:hAnsi="Calibri" w:asciiTheme="majorHAnsi" w:hAnsiTheme="majorHAnsi"/>
            <w:lang w:val="en-GB"/>
          </w:rPr>
          <w:delText>During the last decades s</w:delText>
        </w:r>
      </w:del>
      <w:r>
        <w:rPr>
          <w:rFonts w:ascii="Calibri" w:hAnsi="Calibri" w:asciiTheme="majorHAnsi" w:hAnsiTheme="majorHAnsi"/>
          <w:lang w:val="en-GB"/>
        </w:rPr>
        <w:t xml:space="preserve">everal initiatives, such as public-private partnerships (PPPs), fostered the development of new vaccines </w:t>
      </w:r>
      <w:r>
        <w:fldChar w:fldCharType="begin"/>
      </w:r>
      <w:r>
        <w:instrText>ADDIN CSL_CITATION { "citationItems" : [ { "id" : "ITEM-1", "itemData" : { "URL" : "http://www.gavi.org", "accessed" : { "date-parts" : [ [ "2017", "12", "4" ] ] }, "author" : [ { "dropping-particle" : "", "family" : "GAVI the Vaccine Alliance", "given" : "", "non-dropping-particle" : "", "parse-names" : false, "suffix" : "" } ], "id" : "ITEM-1", "issued" : { "date-parts" : [ [ "2017" ] ] }, "title" : "http://www.gavi.org", "type" : "webpage" }, "uris" : [ "http://www.mendeley.com/documents/?uuid=157a2b2d-eeb5-4a07-ba26-ef03b89d2f4b" ] } ], "mendeley" : { "formattedCitation" : "(GAVI the Vaccine Alliance, 2017)", "plainTextFormattedCitation" : "(GAVI the Vaccine Alliance, 2017)", "previouslyFormattedCitation" : "(GAVI the Vaccine Alliance, 2017)" }, "properties" : {  }, "schema" : "https://github.com/citation-style-language/schema/raw/master/csl-citation.json" }</w:instrText>
      </w:r>
      <w:r>
        <w:fldChar w:fldCharType="separate"/>
      </w:r>
      <w:bookmarkStart w:id="41" w:name="__Fieldmark__620_513475976"/>
      <w:r>
        <w:rPr>
          <w:rFonts w:ascii="Calibri" w:hAnsi="Calibri" w:asciiTheme="majorHAnsi" w:hAnsiTheme="majorHAnsi"/>
          <w:lang w:val="en-GB"/>
        </w:rPr>
        <w:t>(</w:t>
      </w:r>
      <w:bookmarkStart w:id="42" w:name="__Fieldmark__2546_903549581"/>
      <w:r>
        <w:rPr>
          <w:rFonts w:ascii="Calibri" w:hAnsi="Calibri" w:asciiTheme="majorHAnsi" w:hAnsiTheme="majorHAnsi"/>
          <w:lang w:val="en-GB"/>
        </w:rPr>
        <w:t>GAVI the Vaccine Alliance, 2017)</w:t>
      </w:r>
      <w:r>
        <w:rPr>
          <w:rFonts w:ascii="Calibri" w:hAnsi="Calibri" w:asciiTheme="majorHAnsi" w:hAnsiTheme="majorHAnsi"/>
          <w:lang w:val="en-GB"/>
        </w:rPr>
      </w:r>
      <w:r>
        <w:fldChar w:fldCharType="end"/>
      </w:r>
      <w:bookmarkEnd w:id="41"/>
      <w:bookmarkEnd w:id="42"/>
      <w:r>
        <w:rPr>
          <w:rFonts w:ascii="Calibri" w:hAnsi="Calibri" w:asciiTheme="majorHAnsi" w:hAnsiTheme="majorHAnsi"/>
          <w:lang w:val="en-GB"/>
        </w:rPr>
        <w:t xml:space="preserve">, as well as </w:t>
      </w:r>
      <w:del w:id="126" w:author="Unknown Author" w:date="2018-04-12T10:54:00Z">
        <w:r>
          <w:rPr>
            <w:rFonts w:ascii="Calibri" w:hAnsi="Calibri" w:asciiTheme="majorHAnsi" w:hAnsiTheme="majorHAnsi"/>
            <w:lang w:val="en-GB"/>
          </w:rPr>
          <w:delText xml:space="preserve">of </w:delText>
        </w:r>
      </w:del>
      <w:r>
        <w:rPr>
          <w:rFonts w:ascii="Calibri" w:hAnsi="Calibri" w:asciiTheme="majorHAnsi" w:hAnsiTheme="majorHAnsi"/>
          <w:lang w:val="en-GB"/>
        </w:rPr>
        <w:t xml:space="preserve">new diagnostic tools </w:t>
      </w:r>
      <w:r>
        <w:fldChar w:fldCharType="begin"/>
      </w:r>
      <w:r>
        <w:instrText>ADDIN CSL_CITATION { "citationItems" : [ { "id" : "ITEM-1", "itemData" : { "URL" : "https://www.finddx.org", "accessed" : { "date-parts" : [ [ "2017", "12", "4" ] ] }, "author" : [ { "dropping-particle" : "", "family" : "FIND", "given" : "", "non-dropping-particle" : "", "parse-names" : false, "suffix" : "" } ], "id" : "ITEM-1", "issued" : { "date-parts" : [ [ "2017" ] ] }, "title" : "https://www.finddx.org", "type" : "webpage" }, "uris" : [ "http://www.mendeley.com/documents/?uuid=2337eb63-ac1b-4b83-bc05-ffaaf03e6e9f" ] } ], "mendeley" : { "formattedCitation" : "(FIND, 2017)", "plainTextFormattedCitation" : "(FIND, 2017)", "previouslyFormattedCitation" : "(FIND, 2017)" }, "properties" : {  }, "schema" : "https://github.com/citation-style-language/schema/raw/master/csl-citation.json" }</w:instrText>
      </w:r>
      <w:r>
        <w:fldChar w:fldCharType="separate"/>
      </w:r>
      <w:bookmarkStart w:id="43" w:name="__Fieldmark__627_513475976"/>
      <w:r>
        <w:rPr>
          <w:rFonts w:ascii="Calibri" w:hAnsi="Calibri" w:asciiTheme="majorHAnsi" w:hAnsiTheme="majorHAnsi"/>
          <w:lang w:val="en-GB"/>
        </w:rPr>
        <w:t>(</w:t>
      </w:r>
      <w:bookmarkStart w:id="44" w:name="__Fieldmark__2555_903549581"/>
      <w:r>
        <w:rPr>
          <w:rFonts w:ascii="Calibri" w:hAnsi="Calibri" w:asciiTheme="majorHAnsi" w:hAnsiTheme="majorHAnsi"/>
          <w:lang w:val="en-GB"/>
        </w:rPr>
        <w:t>FIND, 2017)</w:t>
      </w:r>
      <w:r>
        <w:rPr>
          <w:rFonts w:ascii="Calibri" w:hAnsi="Calibri" w:asciiTheme="majorHAnsi" w:hAnsiTheme="majorHAnsi"/>
          <w:lang w:val="en-GB"/>
        </w:rPr>
      </w:r>
      <w:r>
        <w:fldChar w:fldCharType="end"/>
      </w:r>
      <w:bookmarkEnd w:id="43"/>
      <w:bookmarkEnd w:id="44"/>
      <w:r>
        <w:rPr>
          <w:rFonts w:ascii="Calibri" w:hAnsi="Calibri" w:asciiTheme="majorHAnsi" w:hAnsiTheme="majorHAnsi"/>
          <w:lang w:val="en-GB"/>
        </w:rPr>
        <w:t xml:space="preserve"> and drugs for NTDs  </w:t>
      </w:r>
      <w:r>
        <w:fldChar w:fldCharType="begin"/>
      </w:r>
      <w:r>
        <w:instrText>ADDIN CSL_CITATION { "citationItems" : [ { "id" : "ITEM-1",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"ITEM-1", "issue" : "9", "issued" : { "date-parts" : [ [ "2005" ] ] }, "page" : "0828-0832", "title" : "A breakthrough in R&amp;D for neglected diseases: New ways to get the drugs we need", "type" : "article-journal", "volume" : "2" }, "uris" : [ "http://www.mendeley.com/documents/?uuid=7875d5ef-aad7-4cbf-88df-93141254cdc6" ] }, { "id" : "ITEM-2", "itemData" : { "DOI" : "10.1002/hec.1176", "ISBN" : "1057-9230 (Print) 1057-9230", "ISSN" : "10579230", "PMID" : "17013993", "abstract" : "The G8 is considering committing to purchase vaccines against diseases concentrated in low-income countries (if and when desirable vaccines are developed) as a way to spur research and development on vaccines for these diseases. Under such an 'advance market commitment,' one or more sponsors would commit to a minimum price to be paid per person immunized for an eligible product, up to a certain number of individuals immunized. For additional purchases, the price would eventually drop to close to marginal cost. If no suitable product were developed, no payments would be made. We estimate the offer size which would make revenues similar to the revenues realized from investments in typical existing commercial pharmaceutical products, as well as the degree to which various model contracts and assumptions would affect the cost-effectiveness of such a commitment. We make adjustments for lower marketing costs under an advance market commitment and the risk that a developer may have to share the market with subsequent developers. We also show how this second risk could be reduced, and money saved, by introducing a superiority clause to a commitment. Under conservative assumptions, we document that a commitment comparable in value to sales earned by the average of a sample of recently launched commercial products (adjusted for lower marketing costs) would be a highly cost-effective way to address HIV/AIDS, malaria, and tuberculosis. Sensitivity analyses suggest most characteristics of a hypothetical vaccine would have little effect on the cost-effectiveness, but that the duration of protection conferred by a vaccine strongly affects potential cost-effectiveness. Readers can conduct their own sensitivity analyses employing a web-based spreadsheet tool.", "author" : [ { "dropping-particle" : "", "family" : "Berndt", "given" : "Ernst R.", "non-dropping-particle" : "", "parse-names" : false, "suffix" : "" }, { "dropping-particle" : "", "family" : "Glennerster", "given" : "Rachel", "non-dropping-particle" : "", "parse-names" : false, "suffix" : "" }, { "dropping-particle" : "", "family" : "Kremer", "given" : "Michael R.", "non-dropping-particle" : "", "parse-names" : false, "suffix" : "" }, { "dropping-particle" : "", "family" : "Lee", "given" : "Jean", "non-dropping-particle" : "", "parse-names" : false, "suffix" : "" }, { "dropping-particle" : "", "family" : "Levine", "given" : "Ruth", "non-dropping-particle" : "", "parse-names" : false, "suffix" : "" }, { "dropping-particle" : "", "family" : "Weizs\u00e4cker", "given" : "Georg", "non-dropping-particle" : "", "parse-names" : false, "suffix" : "" }, { "dropping-particle" : "", "family" : "Williams", "given" : "Heidi", "non-dropping-particle" : "", "parse-names" : false, "suffix" : "" } ], "container-title" : "Health Economics", "id" : "ITEM-2", "issue" : "5", "issued" : { "date-parts" : [ [ "2007" ] ] }, "page" : "491-511", "title" : "Advance market commitments for vaccines against neglected diseases: Estimating costs and effectiveness", "type" : "article-journal", "volume" : "16" }, "uris" : [ "http://www.mendeley.com/documents/?uuid=4c4ea9f8-0707-4f91-a241-7a9d056e56be" ] } ], "mendeley" : { "formattedCitation" : "(Moran, 2005; Berndt et al., 2007)", "plainTextFormattedCitation" : "(Moran, 2005; Berndt et al., 2007)", "previouslyFormattedCitation" : "(Moran, 2005; Berndt et al., 2007)" }, "properties" : {  }, "schema" : "https://github.com/citation-style-language/schema/raw/master/csl-citation.json" }</w:instrText>
      </w:r>
      <w:r>
        <w:fldChar w:fldCharType="separate"/>
      </w:r>
      <w:bookmarkStart w:id="45" w:name="__Fieldmark__634_513475976"/>
      <w:r>
        <w:rPr>
          <w:rFonts w:ascii="Calibri" w:hAnsi="Calibri" w:asciiTheme="majorHAnsi" w:hAnsiTheme="majorHAnsi"/>
          <w:lang w:val="en-GB"/>
        </w:rPr>
        <w:t>(</w:t>
      </w:r>
      <w:bookmarkStart w:id="46" w:name="__Fieldmark__2564_903549581"/>
      <w:r>
        <w:rPr>
          <w:rFonts w:ascii="Calibri" w:hAnsi="Calibri" w:asciiTheme="majorHAnsi" w:hAnsiTheme="majorHAnsi"/>
          <w:lang w:val="en-GB"/>
        </w:rPr>
        <w:t>Moran, 2005; Berndt et al., 2007)</w:t>
      </w:r>
      <w:r>
        <w:rPr>
          <w:rFonts w:ascii="Calibri" w:hAnsi="Calibri" w:asciiTheme="majorHAnsi" w:hAnsiTheme="majorHAnsi"/>
          <w:lang w:val="en-GB"/>
        </w:rPr>
      </w:r>
      <w:r>
        <w:fldChar w:fldCharType="end"/>
      </w:r>
      <w:bookmarkEnd w:id="45"/>
      <w:bookmarkEnd w:id="46"/>
      <w:r>
        <w:rPr>
          <w:rFonts w:ascii="Calibri" w:hAnsi="Calibri" w:asciiTheme="majorHAnsi" w:hAnsiTheme="majorHAnsi"/>
          <w:lang w:val="en-GB"/>
        </w:rPr>
        <w:t xml:space="preserve">. However, research and development of health products is still insufficient for NTDs and the success of such initiatives remains unclear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"mendeley" : { "formattedCitation" : "(Aerts et al., 2017)", "plainTextFormattedCitation" : "(Aerts et al., 2017)", "previouslyFormattedCitation" : "(Aerts et al., 2017)" }, "properties" : {  }, "schema" : "https://github.com/citation-style-language/schema/raw/master/csl-citation.json" }</w:instrText>
      </w:r>
      <w:r>
        <w:fldChar w:fldCharType="separate"/>
      </w:r>
      <w:bookmarkStart w:id="47" w:name="__Fieldmark__641_513475976"/>
      <w:r>
        <w:rPr>
          <w:rFonts w:ascii="Calibri" w:hAnsi="Calibri" w:asciiTheme="majorHAnsi" w:hAnsiTheme="majorHAnsi"/>
          <w:lang w:val="en-GB"/>
        </w:rPr>
        <w:t>(</w:t>
      </w:r>
      <w:bookmarkStart w:id="48" w:name="__Fieldmark__2573_903549581"/>
      <w:r>
        <w:rPr>
          <w:rFonts w:ascii="Calibri" w:hAnsi="Calibri" w:asciiTheme="majorHAnsi" w:hAnsiTheme="majorHAnsi"/>
          <w:lang w:val="en-GB"/>
        </w:rPr>
        <w:t>Aerts et al., 2017)</w:t>
      </w:r>
      <w:r>
        <w:rPr>
          <w:rFonts w:ascii="Calibri" w:hAnsi="Calibri" w:asciiTheme="majorHAnsi" w:hAnsiTheme="majorHAnsi"/>
          <w:lang w:val="en-GB"/>
        </w:rPr>
      </w:r>
      <w:r>
        <w:fldChar w:fldCharType="end"/>
      </w:r>
      <w:bookmarkEnd w:id="47"/>
      <w:bookmarkEnd w:id="48"/>
      <w:r>
        <w:rPr>
          <w:rFonts w:ascii="Calibri" w:hAnsi="Calibri" w:asciiTheme="majorHAnsi" w:hAnsiTheme="majorHAnsi"/>
          <w:lang w:val="en-GB"/>
        </w:rPr>
        <w:t xml:space="preserve">. Even if research and development </w:t>
      </w:r>
      <w:del w:id="127" w:author="Unknown Author" w:date="2018-04-12T10:54:00Z">
        <w:r>
          <w:rPr>
            <w:rFonts w:ascii="Calibri" w:hAnsi="Calibri" w:asciiTheme="majorHAnsi" w:hAnsiTheme="majorHAnsi"/>
            <w:lang w:val="en-GB"/>
          </w:rPr>
          <w:delText>was</w:delText>
        </w:r>
      </w:del>
      <w:ins w:id="128" w:author="Unknown Author" w:date="2018-04-12T10:54:00Z">
        <w:r>
          <w:rPr>
            <w:rFonts w:ascii="Calibri" w:hAnsi="Calibri" w:asciiTheme="majorHAnsi" w:hAnsiTheme="majorHAnsi"/>
            <w:lang w:val="en-GB"/>
          </w:rPr>
          <w:t>were</w:t>
        </w:r>
      </w:ins>
      <w:ins w:id="129" w:author="Unknown Author" w:date="2018-04-12T10:54:00Z">
        <w:r>
          <w:rPr>
            <w:rFonts w:ascii="Calibri" w:hAnsi="Calibri" w:asciiTheme="majorHAnsi" w:hAnsiTheme="majorHAnsi"/>
            <w:lang w:val="en-GB"/>
          </w:rPr>
          <w:commentReference w:id="6"/>
        </w:r>
      </w:ins>
      <w:r>
        <w:rPr>
          <w:rFonts w:ascii="Calibri" w:hAnsi="Calibri" w:asciiTheme="majorHAnsi" w:hAnsiTheme="majorHAnsi"/>
          <w:lang w:val="en-GB"/>
        </w:rPr>
        <w:t xml:space="preserve"> perfectly successful, speeding up the process of implementation and achieving better access for everyone would still imply additional efforts </w:t>
      </w:r>
      <w:r>
        <w:fldChar w:fldCharType="begin"/>
      </w:r>
      <w:r>
        <w:instrText>ADDIN CSL_CITATION { "citationItems" : [ { "id" : "ITEM-1", "itemData" : { "DOI" : "10.1186/1471-2458-12-683", "ISBN" : "1471-2458", "ISSN" : "1471-2458", "PMID" : "22908877", "abstract" : "Background: It is unclear how long it takes for health interventions to transition from research and development (R&amp;D) to being used against diseases prevalent in resource-poor countries. We undertook an analysis of the time required to begin implementation of four vaccines and three malaria interventions. We evaluated five milestones for each intervention, and assessed if the milestones were associated with beginning implementation. Methods: The authors screened World Health Organization (WHO) databases to determine the number of years between first regulatory approval of interventions, and countries beginning implementation. Descriptive analyses of temporal patterns and statistical analyses using logistic regression and Cox proportional hazard models were used to evaluate associations between five milestones and the beginning of implementation for each intervention. The milestones were: (A) presence of a coordinating group focused on the intervention; (B) availability of an intervention tailored to developing country health systems; (C) international financing commitment, and; (D) initial and (E) comprehensive WHO recommendations. Countries were categorized by World Bank income criteria. Results: Five years after regulatory approval, no low-income countries (LICs) had begun implementing any of the vaccines, increasing to an average of only 4% of LICs after 10 years. Each malaria intervention was used by an average of 7% of LICs after five years and 37% after 10 years. Four of the interventions had similar implementation rates to hepatitis B vaccine (HepB), while one was slower and one was faster than HepB. A financing commitment and initial WHO recommendation appeared to be temporally associated with the beginning of implementation. The initial recommendation from WHO was the only milestone associated in all statistical analyses with countries beginning implementation (relative rate = 1.97, P &lt; 0.001). Conclusions: Although possible that four milestones were not associated with countries beginning implementation, we propose an alternative interpretation; that the milestones were not realized early enough in each intervention's development to shorten the time to beginning implementation. We discuss a framework built upon existing literature for consideration during the development of future interventions. Identifying critical milestones and their timing relative to R&amp;D, promises to help new interventions realize their intended public health impact more\u2026", "author" : [ { "dropping-particle" : "", "family" : "Brooks", "given" : "Alan", "non-dropping-particle" : "", "parse-names" : false, "suffix" : "" }, { "dropping-particle" : "", "family" : "Smith", "given" : "Thomas A", "non-dropping-particle" : "", "parse-names" : false, "suffix" : "" }, { "dropping-particle" : "", "family" : "Savigny", "given" : "Don", "non-dropping-particle" : "de", "parse-names" : false, "suffix" : "" }, { "dropping-particle" : "", "family" : "Lengeler", "given" : "Christian", "non-dropping-particle" : "", "parse-names" : false, "suffix" : "" } ], "container-title" : "BMC Public Health", "id" : "ITEM-1", "issue" : "1", "issued" : { "date-parts" : [ [ "2012" ] ] }, "page" : "683", "publisher" : "BMC Public Health", "title" : "Implementing new health interventions in developing countries: why do we lose a decade or more?", "type" : "article-journal", "volume" : "12" }, "uris" : [ "http://www.mendeley.com/documents/?uuid=05759448-a1e2-42ae-8d3d-8cab8684323e" ] } ], "mendeley" : { "formattedCitation" : "(Brooks et al., 2012)", "plainTextFormattedCitation" : "(Brooks et al., 2012)", "previouslyFormattedCitation" : "(Brooks et al., 2012)" }, "properties" : {  }, "schema" : "https://github.com/citation-style-language/schema/raw/master/csl-citation.json" }</w:instrText>
      </w:r>
      <w:r>
        <w:fldChar w:fldCharType="separate"/>
      </w:r>
      <w:bookmarkStart w:id="49" w:name="__Fieldmark__648_513475976"/>
      <w:r>
        <w:rPr>
          <w:rFonts w:ascii="Calibri" w:hAnsi="Calibri" w:asciiTheme="majorHAnsi" w:hAnsiTheme="majorHAnsi"/>
          <w:lang w:val="en-GB"/>
        </w:rPr>
        <w:t>(</w:t>
      </w:r>
      <w:bookmarkStart w:id="50" w:name="__Fieldmark__2584_903549581"/>
      <w:r>
        <w:rPr>
          <w:rFonts w:ascii="Calibri" w:hAnsi="Calibri" w:asciiTheme="majorHAnsi" w:hAnsiTheme="majorHAnsi"/>
          <w:lang w:val="en-GB"/>
        </w:rPr>
        <w:t>Brooks et al., 2012)</w:t>
      </w:r>
      <w:r>
        <w:rPr>
          <w:rFonts w:ascii="Calibri" w:hAnsi="Calibri" w:asciiTheme="majorHAnsi" w:hAnsiTheme="majorHAnsi"/>
          <w:lang w:val="en-GB"/>
        </w:rPr>
      </w:r>
      <w:r>
        <w:fldChar w:fldCharType="end"/>
      </w:r>
      <w:bookmarkEnd w:id="49"/>
      <w:bookmarkEnd w:id="50"/>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specific case of disease treatment, the emergence of drug-resistances </w:t>
      </w:r>
      <w:del w:id="130" w:author="Unknown Author" w:date="2018-04-12T10:55:00Z">
        <w:r>
          <w:rPr>
            <w:rFonts w:ascii="Calibri" w:hAnsi="Calibri" w:asciiTheme="majorHAnsi" w:hAnsiTheme="majorHAnsi"/>
            <w:lang w:val="en-GB"/>
          </w:rPr>
          <w:delText xml:space="preserve">constantly </w:delText>
        </w:r>
      </w:del>
      <w:r>
        <w:rPr>
          <w:rFonts w:ascii="Calibri" w:hAnsi="Calibri" w:asciiTheme="majorHAnsi" w:hAnsiTheme="majorHAnsi"/>
          <w:lang w:val="en-GB"/>
        </w:rPr>
        <w:t xml:space="preserve">requires the </w:t>
      </w:r>
      <w:ins w:id="131" w:author="Unknown Author" w:date="2018-04-12T10:55:00Z">
        <w:r>
          <w:rPr>
            <w:rFonts w:ascii="Calibri" w:hAnsi="Calibri" w:asciiTheme="majorHAnsi" w:hAnsiTheme="majorHAnsi"/>
            <w:lang w:val="en-GB"/>
          </w:rPr>
          <w:t xml:space="preserve">constant </w:t>
        </w:r>
      </w:ins>
      <w:r>
        <w:rPr>
          <w:rFonts w:ascii="Calibri" w:hAnsi="Calibri" w:asciiTheme="majorHAnsi" w:hAnsiTheme="majorHAnsi"/>
          <w:lang w:val="en-GB"/>
        </w:rPr>
        <w:t xml:space="preserve">development of new tools. Despite the large improvements achieved worldwide, the control of infectious diseases is threatened by </w:t>
      </w:r>
      <w:del w:id="132" w:author="Unknown Author" w:date="2018-04-12T10:55: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increasing drug-resistance prevalence, which leads to particularly severe consequences in LICs where no second-line effective treatment is often available or affordable by a large proportion of the population </w:t>
      </w:r>
      <w:r>
        <w:fldChar w:fldCharType="begin"/>
      </w:r>
      <w:r>
        <w:instrText>ADDIN CSL_CITATION { "citationItems" : [ { "id" : "ITEM-1", "itemData" : { "DOI" : "http://files.dcp2.org/pdf/DCP/DCP55.pdf", "PMID" : "21250349", "author" : [ { "dropping-particle" : "", "family" : "Laxminarayan", "given" : "Ramanan", "non-dropping-particle" : "", "parse-names" : false, "suffix" : "" }, { "dropping-particle" : "", "family" : "Bhutta", "given" : "Zulfiqar a", "non-dropping-particle" : "", "parse-names" : false, "suffix" : "" }, { "dropping-particle" : "", "family" : "Duse", "given" : "Adriano", "non-dropping-particle" : "", "parse-names" : false, "suffix" : "" }, { "dropping-particle" : "", "family" : "Brien", "given" : "Thomas O", "non-dropping-particle" : "", "parse-names" : false, "suffix" : "" }, { "dropping-particle" : "", "family" : "Okeke", "given" : "Iruka N", "non-dropping-particle" : "", "parse-names" : false, "suffix" : "" }, { "dropping-particle" : "", "family" : "Pablo-mendez", "given" : "Ariel", "non-dropping-particle" : "", "parse-names" : false, "suffix" : "" }, { "dropping-particle" : "", "family" : "Klugman", "given" : "Keith P", "non-dropping-particle" : "", "parse-names" : false, "suffix" : "" } ], "container-title" : "Washington (DC): The International Bank for Reconstruction and Development / The World Bank; New York: Oxford University Press; 2006", "id" : "ITEM-1", "issued" : { "date-parts" : [ [ "2006" ] ] }, "number-of-pages" : "1031-1051", "title" : "Disease Control Priorities in Developing Countries. Chapter 55 Drug Resistances.", "type" : "book" }, "uris" : [ "http://www.mendeley.com/documents/?uuid=ddb79f48-f52d-4182-9418-2c12509c1c9b" ] } ], "mendeley" : { "formattedCitation" : "(Laxminarayan, Bhutta, et al., 2006)", "plainTextFormattedCitation" : "(Laxminarayan, Bhutta, et al., 2006)", "previouslyFormattedCitation" : "(Laxminarayan, Bhutta, et al., 2006)" }, "properties" : {  }, "schema" : "https://github.com/citation-style-language/schema/raw/master/csl-citation.json" }</w:instrText>
      </w:r>
      <w:r>
        <w:fldChar w:fldCharType="separate"/>
      </w:r>
      <w:bookmarkStart w:id="51" w:name="__Fieldmark__657_513475976"/>
      <w:r>
        <w:rPr>
          <w:rFonts w:ascii="Calibri" w:hAnsi="Calibri" w:asciiTheme="majorHAnsi" w:hAnsiTheme="majorHAnsi"/>
          <w:lang w:val="en-GB"/>
        </w:rPr>
        <w:t>(</w:t>
      </w:r>
      <w:bookmarkStart w:id="52" w:name="__Fieldmark__2616_903549581"/>
      <w:r>
        <w:rPr>
          <w:rFonts w:ascii="Calibri" w:hAnsi="Calibri" w:asciiTheme="majorHAnsi" w:hAnsiTheme="majorHAnsi"/>
          <w:lang w:val="en-GB"/>
        </w:rPr>
        <w:t>Laxminarayan, Bhutta, et al., 2006)</w:t>
      </w:r>
      <w:r>
        <w:rPr>
          <w:rFonts w:ascii="Calibri" w:hAnsi="Calibri" w:asciiTheme="majorHAnsi" w:hAnsiTheme="majorHAnsi"/>
          <w:lang w:val="en-GB"/>
        </w:rPr>
      </w:r>
      <w:r>
        <w:fldChar w:fldCharType="end"/>
      </w:r>
      <w:bookmarkEnd w:id="51"/>
      <w:bookmarkEnd w:id="52"/>
      <w:r>
        <w:rPr>
          <w:rFonts w:ascii="Calibri" w:hAnsi="Calibri" w:asciiTheme="majorHAnsi" w:hAnsiTheme="majorHAnsi"/>
          <w:lang w:val="en-GB"/>
        </w:rPr>
        <w:t xml:space="preserve">. Such a challenge will only be overcome by improving controls on drug prescription and encouraging treatment compliance. However, global coordination is needed to contain drug-resistance locally, in addition to supporting the development of new drugs.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terms of healthcare funding, most LICs rely on international aid and on the help of international organisations to obtain most of the diagnostics, drugs and vaccines for infectious diseases. An example is the Global Fund to Fight AIDS, Tuberculosis and Malaria, a public-private partnership financing infectious diseases programmes in LICs </w:t>
      </w:r>
      <w:r>
        <w:fldChar w:fldCharType="begin"/>
      </w:r>
      <w:r>
        <w:instrText>ADDIN CSL_CITATION { "citationItems" : [ { "id" : "ITEM-1", "itemData" : { "URL" : "https://www.theglobalfund.org/en/funding-model/funding-process-steps/eligibility-transitions/", "accessed" : { "date-parts" : [ [ "2018", "2", "12" ] ] }, "author" : [ { "dropping-particle" : "", "family" : "The Global Fund", "given" : "", "non-dropping-particle" : "", "parse-names" : false, "suffix" : "" } ], "id" : "ITEM-1", "issued" : { "date-parts" : [ [ "2018" ] ] }, "title" : "The Global Fund to Fight AIDS, Tuberculosis and Malaria- Funding Model", "type" : "webpage" }, "uris" : [ "http://www.mendeley.com/documents/?uuid=b95af55f-99c8-4ecb-aed9-f6a910fcd8be" ] } ], "mendeley" : { "formattedCitation" : "(The Global Fund, 2018)", "plainTextFormattedCitation" : "(The Global Fund, 2018)", "previouslyFormattedCitation" : "(The Global Fund, 2018)" }, "properties" : {  }, "schema" : "https://github.com/citation-style-language/schema/raw/master/csl-citation.json" }</w:instrText>
      </w:r>
      <w:r>
        <w:fldChar w:fldCharType="separate"/>
      </w:r>
      <w:bookmarkStart w:id="53" w:name="__Fieldmark__666_513475976"/>
      <w:r>
        <w:rPr>
          <w:rFonts w:ascii="Calibri" w:hAnsi="Calibri" w:asciiTheme="majorHAnsi" w:hAnsiTheme="majorHAnsi"/>
          <w:lang w:val="en-GB"/>
        </w:rPr>
        <w:t>(</w:t>
      </w:r>
      <w:bookmarkStart w:id="54" w:name="__Fieldmark__2652_903549581"/>
      <w:r>
        <w:rPr>
          <w:rFonts w:ascii="Calibri" w:hAnsi="Calibri" w:asciiTheme="majorHAnsi" w:hAnsiTheme="majorHAnsi"/>
          <w:lang w:val="en-GB"/>
        </w:rPr>
        <w:t>The Global Fund, 2018)</w:t>
      </w:r>
      <w:r>
        <w:rPr>
          <w:rFonts w:ascii="Calibri" w:hAnsi="Calibri" w:asciiTheme="majorHAnsi" w:hAnsiTheme="majorHAnsi"/>
          <w:lang w:val="en-GB"/>
        </w:rPr>
      </w:r>
      <w:r>
        <w:fldChar w:fldCharType="end"/>
      </w:r>
      <w:bookmarkEnd w:id="53"/>
      <w:bookmarkEnd w:id="54"/>
      <w:r>
        <w:rPr>
          <w:rFonts w:ascii="Calibri" w:hAnsi="Calibri" w:asciiTheme="majorHAnsi" w:hAnsiTheme="majorHAnsi"/>
          <w:lang w:val="en-GB"/>
        </w:rPr>
        <w:t xml:space="preserve">. Funding allocation from the Global Fund is linked to country income and disease burden, leaving some countries without support. In the 1980s, users fees were introduced as a health financing mechanism in several LICs, in many cases resulting in catastrophic health expenditures </w:t>
      </w:r>
      <w:r>
        <w:fldChar w:fldCharType="begin"/>
      </w:r>
      <w:r>
        <w:instrText>ADDIN CSL_CITATION { "citationItems" : [ { "id" : "ITEM-1", "itemData" : { "DOI" : "10.1016/j.socscimed.2005.07.001", "ISBN" : "0277-9536 (Print) 0277-9536 (Linking)", "ISSN" : "02779536", "PMID" : "16099574", "abstract" : "This paper presents the findings of a critical review of studies carried out in low- and middle-income countries (LMICs) focusing on the economic consequences for households of illness and health care use. These include household level impacts of direct costs (medical treatment and related financial costs), indirect costs (productive time losses resulting from illness) and subsequent household responses. It highlights that health care financing strategies that place considerable emphasis on out-of-pocket payments can impoverish households. There is growing evidence of households being pushed into poverty or forced into deeper poverty when faced with substantial medical expenses, particularly when combined with a loss of household income due to ill-health. Health sector reforms in LMICs since the late 1980s have particularly focused on promoting user fees for public sector health services and increasing the role of the private for-profit sector in health care provision. This has increasingly placed the burden of paying for health care on individuals experiencing poor health. This trend seems to continue even though some countries and international organisations are considering a shift away from their previous pro-user fee agenda. Research into alternative health care financing strategies and related mechanisms for coping with the direct and indirect costs of illness is urgently required to inform the development of appropriate social policies to improve access to essential health services and break the vicious cycle between illness and poverty. \u00a9 2005 Elsevier Ltd. All rights reserved.", "author" : [ { "dropping-particle" : "", "family" : "McIntyre", "given" : "Diane", "non-dropping-particle" : "", "parse-names" : false, "suffix" : "" }, { "dropping-particle" : "", "family" : "Thiede", "given" : "Michael", "non-dropping-particle" : "", "parse-names" : false, "suffix" : "" }, { "dropping-particle" : "", "family" : "Dahlgren", "given" : "G\u00f6ran", "non-dropping-particle" : "", "parse-names" : false, "suffix" : "" }, { "dropping-particle" : "", "family" : "Whitehead", "given" : "Margaret", "non-dropping-particle" : "", "parse-names" : false, "suffix" : "" } ], "container-title" : "Social Science and Medicine", "id" : "ITEM-1", "issue" : "4", "issued" : { "date-parts" : [ [ "2006" ] ] }, "page" : "858-865", "title" : "What are the economic consequences for households of illness and of paying for health care in low- and middle-income country contexts?", "type" : "article-journal", "volume" : "62" }, "uris" : [ "http://www.mendeley.com/documents/?uuid=d7d7a715-3fad-46a3-989e-3a4ae058a70a" ] } ], "mendeley" : { "formattedCitation" : "(McIntyre et al., 2006)", "plainTextFormattedCitation" : "(McIntyre et al., 2006)", "previouslyFormattedCitation" : "(McIntyre et al., 2006)" }, "properties" : {  }, "schema" : "https://github.com/citation-style-language/schema/raw/master/csl-citation.json" }</w:instrText>
      </w:r>
      <w:r>
        <w:fldChar w:fldCharType="separate"/>
      </w:r>
      <w:bookmarkStart w:id="55" w:name="__Fieldmark__673_513475976"/>
      <w:r>
        <w:rPr>
          <w:rFonts w:ascii="Calibri" w:hAnsi="Calibri" w:asciiTheme="majorHAnsi" w:hAnsiTheme="majorHAnsi"/>
          <w:lang w:val="en-GB"/>
        </w:rPr>
        <w:t>(</w:t>
      </w:r>
      <w:bookmarkStart w:id="56" w:name="__Fieldmark__2673_903549581"/>
      <w:r>
        <w:rPr>
          <w:rFonts w:ascii="Calibri" w:hAnsi="Calibri" w:asciiTheme="majorHAnsi" w:hAnsiTheme="majorHAnsi"/>
          <w:lang w:val="en-GB"/>
        </w:rPr>
        <w:t>McIntyre et al., 2006)</w:t>
      </w:r>
      <w:r>
        <w:rPr>
          <w:rFonts w:ascii="Calibri" w:hAnsi="Calibri" w:asciiTheme="majorHAnsi" w:hAnsiTheme="majorHAnsi"/>
          <w:lang w:val="en-GB"/>
        </w:rPr>
      </w:r>
      <w:r>
        <w:fldChar w:fldCharType="end"/>
      </w:r>
      <w:bookmarkEnd w:id="55"/>
      <w:bookmarkEnd w:id="56"/>
      <w:r>
        <w:rPr>
          <w:rFonts w:ascii="Calibri" w:hAnsi="Calibri" w:asciiTheme="majorHAnsi" w:hAnsiTheme="majorHAnsi"/>
          <w:lang w:val="en-GB"/>
        </w:rPr>
        <w:t xml:space="preserve">. In order to make health products more affordable in LICs, a few strategies have been promoted. One is to reduce the procurement drug price according to national income </w:t>
      </w:r>
      <w:r>
        <w:fldChar w:fldCharType="begin"/>
      </w:r>
      <w:r>
        <w:instrText>ADDIN CSL_CITATION { "citationItems" : [ { "id" : "ITEM-1", "itemData" : { "DOI" : "10.1002/hec.3013", "author" : [ { "dropping-particle" : "", "family" : "Danzon", "given" : "Patricia", "non-dropping-particle" : "", "parse-names" : false, "suffix" : "" }, { "dropping-particle" : "", "family" : "Mulcahy", "given" : "Andrew", "non-dropping-particle" : "", "parse-names" : false, "suffix" : "" }, { "dropping-particle" : "", "family" : "Towse", "given" : "Adrian", "non-dropping-particle" : "", "parse-names" : false, "suffix" : "" } ], "container-title" : "Health economics", "id" : "ITEM-1", "issued" : { "date-parts" : [ [ "2015" ] ] }, "page" : "238-252", "title" : "Pharmaceutical pricing in emerging markets: effects of income, competition, and procurement", "type" : "article-journal", "volume" : "24" }, "uris" : [ "http://www.mendeley.com/documents/?uuid=6d6ccef5-d2b3-42b7-984c-60229e502d99" ] } ], "mendeley" : { "formattedCitation" : "(Danzon et al., 2015)", "plainTextFormattedCitation" : "(Danzon et al., 2015)", "previouslyFormattedCitation" : "(Danzon et al., 2015)" }, "properties" : {  }, "schema" : "https://github.com/citation-style-language/schema/raw/master/csl-citation.json" }</w:instrText>
      </w:r>
      <w:r>
        <w:fldChar w:fldCharType="separate"/>
      </w:r>
      <w:bookmarkStart w:id="57" w:name="__Fieldmark__680_513475976"/>
      <w:r>
        <w:rPr>
          <w:rFonts w:ascii="Calibri" w:hAnsi="Calibri" w:asciiTheme="majorHAnsi" w:hAnsiTheme="majorHAnsi"/>
          <w:lang w:val="en-GB"/>
        </w:rPr>
        <w:t>(</w:t>
      </w:r>
      <w:bookmarkStart w:id="58" w:name="__Fieldmark__2684_903549581"/>
      <w:r>
        <w:rPr>
          <w:rFonts w:ascii="Calibri" w:hAnsi="Calibri" w:asciiTheme="majorHAnsi" w:hAnsiTheme="majorHAnsi"/>
          <w:lang w:val="en-GB"/>
        </w:rPr>
        <w:t>Danzon et al., 2015)</w:t>
      </w:r>
      <w:r>
        <w:rPr>
          <w:rFonts w:ascii="Calibri" w:hAnsi="Calibri" w:asciiTheme="majorHAnsi" w:hAnsiTheme="majorHAnsi"/>
          <w:lang w:val="en-GB"/>
        </w:rPr>
      </w:r>
      <w:r>
        <w:fldChar w:fldCharType="end"/>
      </w:r>
      <w:bookmarkEnd w:id="57"/>
      <w:bookmarkEnd w:id="58"/>
      <w:r>
        <w:rPr>
          <w:rFonts w:ascii="Calibri" w:hAnsi="Calibri" w:asciiTheme="majorHAnsi" w:hAnsiTheme="majorHAnsi"/>
          <w:lang w:val="en-GB"/>
        </w:rPr>
        <w:t xml:space="preserve">; the other is to regulate private markets to boost competitiveness </w:t>
      </w:r>
      <w:r>
        <w:fldChar w:fldCharType="begin"/>
      </w:r>
      <w:r>
        <w:instrText>ADDIN CSL_CITATION { "citationItems" : [ { "id" : "ITEM-1",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"ITEM-1",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"mendeley" : { "formattedCitation" : "(Tougher et al., 2012)", "plainTextFormattedCitation" : "(Tougher et al., 2012)", "previouslyFormattedCitation" : "(Tougher et al., 2012)" }, "properties" : {  }, "schema" : "https://github.com/citation-style-language/schema/raw/master/csl-citation.json" }</w:instrText>
      </w:r>
      <w:r>
        <w:fldChar w:fldCharType="separate"/>
      </w:r>
      <w:bookmarkStart w:id="59" w:name="__Fieldmark__687_513475976"/>
      <w:r>
        <w:rPr>
          <w:rFonts w:ascii="Calibri" w:hAnsi="Calibri" w:asciiTheme="majorHAnsi" w:hAnsiTheme="majorHAnsi"/>
          <w:lang w:val="en-GB"/>
        </w:rPr>
        <w:t>(</w:t>
      </w:r>
      <w:bookmarkStart w:id="60" w:name="__Fieldmark__2692_903549581"/>
      <w:r>
        <w:rPr>
          <w:rFonts w:ascii="Calibri" w:hAnsi="Calibri" w:asciiTheme="majorHAnsi" w:hAnsiTheme="majorHAnsi"/>
          <w:lang w:val="en-GB"/>
        </w:rPr>
        <w:t>Tougher et al., 2012)</w:t>
      </w:r>
      <w:r>
        <w:rPr>
          <w:rFonts w:ascii="Calibri" w:hAnsi="Calibri" w:asciiTheme="majorHAnsi" w:hAnsiTheme="majorHAnsi"/>
          <w:lang w:val="en-GB"/>
        </w:rPr>
      </w:r>
      <w:r>
        <w:fldChar w:fldCharType="end"/>
      </w:r>
      <w:bookmarkEnd w:id="59"/>
      <w:bookmarkEnd w:id="60"/>
      <w:r>
        <w:rPr>
          <w:rFonts w:ascii="Calibri" w:hAnsi="Calibri" w:asciiTheme="majorHAnsi" w:hAnsiTheme="majorHAnsi"/>
          <w:lang w:val="en-GB"/>
        </w:rPr>
        <w:t xml:space="preserve">. However, these strategies do not guarantee that poorer individuals afford access to treatment. Alternatively, international organisations can negotiate a price reduction for LICs with manufacturers </w:t>
      </w:r>
      <w:r>
        <w:fldChar w:fldCharType="begin"/>
      </w:r>
      <w:r>
        <w:instrText>ADDIN CSL_CITATION { "citationItems" : [ { "id" : "ITEM-1", "itemData" : { "URL" : "http://investors.gilead.com/phoenix.zhtml?c=69964&amp;p=irol-newsArticle&amp;ID=1637695", "accessed" : { "date-parts" : [ [ "2018", "2", "12" ] ] }, "author" : [ { "dropping-particle" : "", "family" : "Gilead", "given" : "", "non-dropping-particle" : "", "parse-names" : false, "suffix" : "" } ], "id" : "ITEM-1", "issued" : { "date-parts" : [ [ "2011" ] ] }, "title" : "Gilead Sciences Inc - Prease Release", "type" : "webpage" }, "uris" : [ "http://www.mendeley.com/documents/?uuid=f1f354b2-360d-4bdd-ae22-eb4e305289da" ] }, { "id" : "ITEM-2", "itemData" : { "URL" : "https://www.unicef.org/supply/files/HPV_.pdf", "accessed" : { "date-parts" : [ [ "2018", "1", "29" ] ] }, "author" : [ { "dropping-particle" : "", "family" : "UNICEF", "given" : "", "non-dropping-particle" : "", "parse-names" : false, "suffix" : "" } ], "id" : "ITEM-2", "issued" : { "date-parts" : [ [ "2017" ] ] }, "title" : "Vaccine price data", "type" : "webpage" }, "uris" : [ "http://www.mendeley.com/documents/?uuid=3baa646a-03c3-460f-b45c-86c61033a626" ] } ], "mendeley" : { "formattedCitation" : "(Gilead, 2011; UNICEF, 2017)", "plainTextFormattedCitation" : "(Gilead, 2011; UNICEF, 2017)", "previouslyFormattedCitation" : "(Gilead, 2011; UNICEF, 2017)" }, "properties" : {  }, "schema" : "https://github.com/citation-style-language/schema/raw/master/csl-citation.json" }</w:instrText>
      </w:r>
      <w:r>
        <w:fldChar w:fldCharType="separate"/>
      </w:r>
      <w:bookmarkStart w:id="61" w:name="__Fieldmark__694_513475976"/>
      <w:r>
        <w:rPr>
          <w:rFonts w:ascii="Calibri" w:hAnsi="Calibri" w:asciiTheme="majorHAnsi" w:hAnsiTheme="majorHAnsi"/>
          <w:lang w:val="en-GB"/>
        </w:rPr>
        <w:t>(</w:t>
      </w:r>
      <w:bookmarkStart w:id="62" w:name="__Fieldmark__2719_903549581"/>
      <w:r>
        <w:rPr>
          <w:rFonts w:ascii="Calibri" w:hAnsi="Calibri" w:asciiTheme="majorHAnsi" w:hAnsiTheme="majorHAnsi"/>
          <w:lang w:val="en-GB"/>
        </w:rPr>
        <w:t>Gilead, 2011; UNICEF, 2017)</w:t>
      </w:r>
      <w:r>
        <w:rPr>
          <w:rFonts w:ascii="Calibri" w:hAnsi="Calibri" w:asciiTheme="majorHAnsi" w:hAnsiTheme="majorHAnsi"/>
          <w:lang w:val="en-GB"/>
        </w:rPr>
      </w:r>
      <w:r>
        <w:fldChar w:fldCharType="end"/>
      </w:r>
      <w:bookmarkEnd w:id="61"/>
      <w:bookmarkEnd w:id="62"/>
      <w:r>
        <w:rPr>
          <w:rFonts w:ascii="Calibri" w:hAnsi="Calibri" w:asciiTheme="majorHAnsi" w:hAnsiTheme="majorHAnsi"/>
          <w:lang w:val="en-GB"/>
        </w:rPr>
        <w:t xml:space="preserve">. However, such negotiations may leave MICs with no support. Therefore, the most feasible solution for MICs would be to promote a national health insurance programme, which offers at least some extent of protection to the poorest, while advancing to achieve universal health coverage </w:t>
      </w:r>
      <w:r>
        <w:fldChar w:fldCharType="begin"/>
      </w:r>
      <w:r>
        <w:instrText>ADDIN CSL_CITATION { "citationItems" : [ { "id" : "ITEM-1", "itemData" : { "DOI" : "10.1177/0743558403260019", "ISBN" : "9780815705468", "ISSN" : "0743-5584", "abstract" : "Analysis of HI in Ghana, Costa Rica, Indonesia, Namibia, Peru, China, Columbia. Finds that HI increases access and protects households. Not much evidence on impact on health status", "author" : [ { "dropping-particle" : "", "family" : "Escobar", "given" : "Maria-Luisa", "non-dropping-particle" : "", "parse-names" : false, "suffix" : "" }, { "dropping-particle" : "", "family" : "Griffin", "given" : "Charles C", "non-dropping-particle" : "", "parse-names" : false, "suffix" : "" }, { "dropping-particle" : "", "family" : "Shaw", "given" : "R Paul", "non-dropping-particle" : "", "parse-names" : false, "suffix" : "" } ], "container-title" : "Brookings Institution Press", "id" : "ITEM-1", "issued" : { "date-parts" : [ [ "2010" ] ] }, "publisher" : "Brookings Institution Press", "publisher-place" : "Washington DC", "title" : "The Impact of Health Insurance in Low- and Middle-Income Countries", "type" : "book" }, "uris" : [ "http://www.mendeley.com/documents/?uuid=27b7b378-3513-403f-820f-3fbe4e6ab0db" ] }, { "id" : "ITEM-2", "itemData" : { "DOI" : "10.2471/BLT.12.102301", "ISBN" : "1564-0604 (Electronic)\\r0042-9686 (Linking)", "ISSN" : "00429686", "PMID" : "22984313", "abstract" : "OBJECTIVE: To evaluate the impact of health insurance on resource mobilization, financial protection, service utilization, quality of care, social inclusion and community empowerment in low- and lower-middle-income countries in Africa and Asia.\\n\\nMETHODS: A systematic search for randomized controlled trials, quasi-experimental and observational studies published before the end of 2011 was conducted in 20 literature databases, reference lists of relevant studies, web sites and the grey literature. Study quality was assessed with a quality grading protocol.\\n\\nFINDINGS: Inclusion criteria were met by 159 studies - 68 in Africa and 91 in Asia. Most African studies reported on community-based health insurance (CBHI) and were of relatively high quality; social health insurance (SHI) studies were mostly Asian and of medium quality. Only one Asian study dealt with private health insurance (PHI). Most studies were observational; four had randomized controls and 20 had a quasi-experimental design. Financial protection, utilization and social inclusion were far more common subjects than resource mobilization, quality of care or community empowerment. Strong evidence shows that CBHI and SHI improve service utilization and protect members financially by reducing their out-of-pocket expenditure, and that CBHI improves resource mobilization too. Weak evidence points to a positive effect of both SHI and CBHI on quality of care and social inclusion. The effect of SHI and CBHI on community empowerment is inconclusive. Findings for PHI are inconclusive in all domains because of insufficient studies.\\n\\nCONCLUSION: Health insurance offers some protection against the detrimental effects of user fees and a promising avenue towards universal health-care coverage.", "author" : [ { "dropping-particle" : "", "family" : "Spaan", "given" : "Ernst", "non-dropping-particle" : "", "parse-names" : false, "suffix" : "" }, { "dropping-particle" : "", "family" : "Mathijssen", "given" : "Judith", "non-dropping-particle" : "", "parse-names" : false, "suffix" : "" }, { "dropping-particle" : "", "family" : "Tromp", "given" : "Noor", "non-dropping-particle" : "", "parse-names" : false, "suffix" : "" }, { "dropping-particle" : "", "family" : "McBain", "given" : "Florence", "non-dropping-particle" : "", "parse-names" : false, "suffix" : "" }, { "dropping-particle" : "", "family" : "Have", "given" : "Arthur", "non-dropping-particle" : "ten", "parse-names" : false, "suffix" : "" }, { "dropping-particle" : "", "family" : "Baltussen", "given" : "Rob", "non-dropping-particle" : "", "parse-names" : false, "suffix" : "" } ], "container-title" : "Bulletin of the World Health Organization", "id" : "ITEM-2", "issue" : "9", "issued" : { "date-parts" : [ [ "2012" ] ] }, "page" : "685-692", "title" : "The impact of health insurance in Africa and Asia: a systematic review", "type" : "article-journal", "volume" : "90" }, "uris" : [ "http://www.mendeley.com/documents/?uuid=52a5517e-2c06-40bb-9d71-dc85d18732f4" ] } ], "mendeley" : { "formattedCitation" : "(Escobar et al., 2010; Spaan et al., 2012)", "plainTextFormattedCitation" : "(Escobar et al., 2010; Spaan et al., 2012)", "previouslyFormattedCitation" : "(Escobar et al., 2010; Spaan et al., 2012)" }, "properties" : {  }, "schema" : "https://github.com/citation-style-language/schema/raw/master/csl-citation.json" }</w:instrText>
      </w:r>
      <w:r>
        <w:fldChar w:fldCharType="separate"/>
      </w:r>
      <w:bookmarkStart w:id="63" w:name="__Fieldmark__701_513475976"/>
      <w:r>
        <w:rPr>
          <w:rFonts w:ascii="Calibri" w:hAnsi="Calibri" w:asciiTheme="majorHAnsi" w:hAnsiTheme="majorHAnsi"/>
          <w:lang w:val="en-GB"/>
        </w:rPr>
        <w:t>(</w:t>
      </w:r>
      <w:bookmarkStart w:id="64" w:name="__Fieldmark__2748_903549581"/>
      <w:r>
        <w:rPr>
          <w:rFonts w:ascii="Calibri" w:hAnsi="Calibri" w:asciiTheme="majorHAnsi" w:hAnsiTheme="majorHAnsi"/>
          <w:lang w:val="en-GB"/>
        </w:rPr>
        <w:t>Escobar et al., 2010; Spaan et al., 2012)</w:t>
      </w:r>
      <w:r>
        <w:rPr>
          <w:rFonts w:ascii="Calibri" w:hAnsi="Calibri" w:asciiTheme="majorHAnsi" w:hAnsiTheme="majorHAnsi"/>
          <w:lang w:val="en-GB"/>
        </w:rPr>
      </w:r>
      <w:r>
        <w:fldChar w:fldCharType="end"/>
      </w:r>
      <w:bookmarkEnd w:id="63"/>
      <w:bookmarkEnd w:id="64"/>
      <w:r>
        <w:rPr>
          <w:rFonts w:ascii="Calibri" w:hAnsi="Calibri" w:asciiTheme="majorHAnsi" w:hAnsiTheme="majorHAnsi"/>
          <w:lang w:val="en-GB"/>
        </w:rPr>
        <w:t>.</w:t>
      </w:r>
    </w:p>
    <w:p>
      <w:pPr>
        <w:pStyle w:val="Normal"/>
        <w:spacing w:lineRule="auto" w:line="360"/>
        <w:rPr>
          <w:rFonts w:ascii="Calibri" w:hAnsi="Calibri" w:asciiTheme="majorHAnsi" w:hAnsiTheme="majorHAnsi"/>
          <w:highlight w:val="yellow"/>
          <w:lang w:val="en-GB"/>
        </w:rPr>
      </w:pPr>
      <w:r>
        <w:rPr>
          <w:rFonts w:asciiTheme="majorHAnsi" w:hAnsiTheme="majorHAnsi" w:ascii="Calibri" w:hAnsi="Calibri"/>
          <w:highlight w:val="yellow"/>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65" w:name="_Toc382138183"/>
      <w:bookmarkEnd w:id="65"/>
      <w:r>
        <w:rPr>
          <w:lang w:val="en-GB"/>
        </w:rPr>
        <w:t>2. Contribution of economics to global health and infectious diseases research progress</w:t>
      </w:r>
    </w:p>
    <w:p>
      <w:pPr>
        <w:pStyle w:val="Normal"/>
        <w:spacing w:lineRule="auto" w:line="360"/>
        <w:rPr/>
      </w:pPr>
      <w:r>
        <w:rPr>
          <w:rFonts w:ascii="Calibri" w:hAnsi="Calibri" w:asciiTheme="majorHAnsi" w:hAnsiTheme="majorHAnsi"/>
          <w:lang w:val="en-GB"/>
        </w:rPr>
        <w:t xml:space="preserve">Economics is the science of choice in a context of limited resources. As part of the economic science, health economics evaluates different healthcare alternatives in terms of their costs and effectiveness: “health economics is concerned with the analysis of costs, benefits, management, and consequences of health and healthcare”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66" w:name="__Fieldmark__714_513475976"/>
      <w:r>
        <w:rPr>
          <w:rFonts w:ascii="Calibri" w:hAnsi="Calibri" w:asciiTheme="majorHAnsi" w:hAnsiTheme="majorHAnsi"/>
          <w:lang w:val="en-GB"/>
        </w:rPr>
        <w:t>(</w:t>
      </w:r>
      <w:bookmarkStart w:id="67" w:name="__Fieldmark__2778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66"/>
      <w:bookmarkEnd w:id="67"/>
      <w:r>
        <w:rPr>
          <w:rFonts w:ascii="Calibri" w:hAnsi="Calibri" w:asciiTheme="majorHAnsi" w:hAnsiTheme="majorHAnsi"/>
          <w:lang w:val="en-GB"/>
        </w:rPr>
        <w:t xml:space="preserve">. Research in health economics has </w:t>
      </w:r>
      <w:del w:id="133" w:author="Unknown Author" w:date="2018-04-12T10:57:00Z">
        <w:r>
          <w:rPr>
            <w:rFonts w:ascii="Calibri" w:hAnsi="Calibri" w:asciiTheme="majorHAnsi" w:hAnsiTheme="majorHAnsi"/>
            <w:lang w:val="en-GB"/>
          </w:rPr>
          <w:delText>experienced</w:delText>
        </w:r>
      </w:del>
      <w:ins w:id="134" w:author="Unknown Author" w:date="2018-04-12T10:57:00Z">
        <w:r>
          <w:rPr>
            <w:rFonts w:ascii="Calibri" w:hAnsi="Calibri" w:asciiTheme="majorHAnsi" w:hAnsiTheme="majorHAnsi"/>
            <w:lang w:val="en-GB"/>
          </w:rPr>
          <w:t>undergone</w:t>
        </w:r>
      </w:ins>
      <w:r>
        <w:rPr>
          <w:rFonts w:ascii="Calibri" w:hAnsi="Calibri" w:asciiTheme="majorHAnsi" w:hAnsiTheme="majorHAnsi"/>
          <w:lang w:val="en-GB"/>
        </w:rPr>
        <w:t xml:space="preserve"> </w:t>
      </w:r>
      <w:del w:id="135" w:author="Unknown Author" w:date="2018-04-12T10:57:00Z">
        <w:r>
          <w:rPr>
            <w:rFonts w:ascii="Calibri" w:hAnsi="Calibri" w:asciiTheme="majorHAnsi" w:hAnsiTheme="majorHAnsi"/>
            <w:lang w:val="en-GB"/>
          </w:rPr>
          <w:delText>an</w:delText>
        </w:r>
      </w:del>
      <w:r>
        <w:rPr>
          <w:rFonts w:ascii="Calibri" w:hAnsi="Calibri" w:asciiTheme="majorHAnsi" w:hAnsiTheme="majorHAnsi"/>
          <w:lang w:val="en-GB"/>
        </w:rPr>
        <w:t xml:space="preserve"> exponential growth in the last 40 years, mainly focusing on HICs and neglecting most of LMICs and the African continent in particular (</w:t>
      </w:r>
      <w:r>
        <w:rPr>
          <w:rFonts w:ascii="Calibri" w:hAnsi="Calibri" w:asciiTheme="majorHAnsi" w:hAnsiTheme="majorHAnsi"/>
          <w:b/>
          <w:lang w:val="en-GB"/>
        </w:rPr>
        <w:t>Figure 2</w:t>
      </w:r>
      <w:r>
        <w:rPr>
          <w:rFonts w:ascii="Calibri" w:hAnsi="Calibri" w:asciiTheme="majorHAnsi" w:hAnsiTheme="majorHAnsi"/>
          <w:lang w:val="en-GB"/>
        </w:rPr>
        <w:t xml:space="preserve">) </w:t>
      </w:r>
      <w:r>
        <w:fldChar w:fldCharType="begin"/>
      </w:r>
      <w:r>
        <w:instrText>ADDIN CSL_CITATION { "citationItems" : [ { "id" : "ITEM-1", "itemData" : { "DOI" : "10.1002/hec", "ISBN" : "1099-1050; 1057-9230", "ISSN" : "1099-1050", "PMID" : "19816948", "author" : [ { "dropping-particle" : "", "family" : "Pitt", "given" : "Catherine", "non-dropping-particle" : "", "parse-names" : false, "suffix" : "" }, { "dropping-particle" : "", "family" : "Goodman", "given" : "Catherine", "non-dropping-particle" : "", "parse-names" : false, "suffix" : "" }, { "dropping-particle" : "", "family" : "Hanson", "given" : "Kara", "non-dropping-particle" : "", "parse-names" : false, "suffix" : "" } ], "container-title" : "Health economics", "id" : "ITEM-1", "issued" : { "date-parts" : [ [ "2016" ] ] }, "page" : "9-28", "title" : "Economic evaluation in global perspective: a bibliometric analysis of the recent literature", "type" : "article-journal", "volume" : "25" }, "uris" : [ "http://www.mendeley.com/documents/?uuid=177751d0-5610-4a3e-b75c-f41d06211625" ] }, { "id" : "ITEM-2", "itemData" : { "DOI" : "10.1016/J.JHEALECO.2012.03.002", "ISSN" : "0167-6296", "author" : [ { "dropping-particle" : "", "family" : "Wagstaff", "given" : "Adam", "non-dropping-particle" : "", "parse-names" : false, "suffix" : "" }, { "dropping-particle" : "", "family" : "Culyer", "given" : "Anthony", "non-dropping-particle" : "", "parse-names" : false, "suffix" : "" } ], "container-title" : "Journal of Health Economics", "id" : "ITEM-2", "issue" : "2", "issued" : { "date-parts" : [ [ "2012", "3", "1" ] ] }, "page" : "406-439", "publisher" : "North-Holland", "title" : "Four decades of health economics through a bibliometric lens", "type" : "article-journal", "volume" : "31" }, "uris" : [ "http://www.mendeley.com/documents/?uuid=8b34bf2b-9f40-32b0-a216-6e8898e7e825" ] } ], "mendeley" : { "formattedCitation" : "(Pitt et al., 2016; Wagstaff and Culyer, 2012)", "plainTextFormattedCitation" : "(Pitt et al., 2016; Wagstaff and Culyer, 2012)", "previouslyFormattedCitation" : "(Pitt et al., 2016; Wagstaff and Culyer, 2012)" }, "properties" : {  }, "schema" : "https://github.com/citation-style-language/schema/raw/master/csl-citation.json" }</w:instrText>
      </w:r>
      <w:r>
        <w:fldChar w:fldCharType="separate"/>
      </w:r>
      <w:bookmarkStart w:id="68" w:name="__Fieldmark__723_513475976"/>
      <w:r>
        <w:rPr>
          <w:rFonts w:ascii="Calibri" w:hAnsi="Calibri" w:asciiTheme="majorHAnsi" w:hAnsiTheme="majorHAnsi"/>
          <w:lang w:val="en-GB"/>
        </w:rPr>
        <w:t>(</w:t>
      </w:r>
      <w:bookmarkStart w:id="69" w:name="__Fieldmark__2798_903549581"/>
      <w:r>
        <w:rPr>
          <w:rFonts w:ascii="Calibri" w:hAnsi="Calibri" w:asciiTheme="majorHAnsi" w:hAnsiTheme="majorHAnsi"/>
          <w:lang w:val="en-GB"/>
        </w:rPr>
        <w:t>Pitt et al., 2016; Wagstaff and Culyer, 2012)</w:t>
      </w:r>
      <w:r>
        <w:rPr>
          <w:rFonts w:ascii="Calibri" w:hAnsi="Calibri" w:asciiTheme="majorHAnsi" w:hAnsiTheme="majorHAnsi"/>
          <w:lang w:val="en-GB"/>
        </w:rPr>
      </w:r>
      <w:r>
        <w:fldChar w:fldCharType="end"/>
      </w:r>
      <w:bookmarkEnd w:id="68"/>
      <w:bookmarkEnd w:id="69"/>
      <w:r>
        <w:rPr>
          <w:rFonts w:ascii="Calibri" w:hAnsi="Calibri" w:asciiTheme="majorHAnsi" w:hAnsiTheme="majorHAnsi"/>
          <w:lang w:val="en-GB"/>
        </w:rPr>
        <w:t xml:space="preserve">. Although the methodological approach of health economics for LMICs is similar to that for HICs </w:t>
      </w:r>
      <w:r>
        <w:fldChar w:fldCharType="begin"/>
      </w:r>
      <w:r>
        <w:instrText>ADDIN CSL_CITATION { "citationItems" : [ { "id" : "ITEM-1", "itemData" : { "DOI" : "10.1016/S1573-4471(07)04053-3", "ISBN" : "978-0-08-056942-0", "ISSN" : "0169-7218", "abstract" : "Good health is a determinant of economic growth and a component of the well-being of the population. This chapter discusses and synthesizes economic models of individual and household behavior, showing how the models may be used to illuminate health policy making in low-income countries. The models presented could help address questions such as: How can the health of the poor be improved, and what are the economic consequences of better health? What policies would improve intra-household distribution of health outcomes? It is argued that health economics research can provide information of relevance to health policies in low-income countries, if it were to take into account specific institutional contexts in which economic agents in these countries operate. Although institutions are universal, their type and extent of development differ across countries, and differ as well, in their effects on economic behavior. An important mechanism by which institutions affect health is through their effects on demand for health production inputs. Cooperative and noncooperative household models for analyzing intra-family allocations of health production inputs are reviewed, stressing the role institutions play in accounting for differences in levels of health and health care among individuals and across countries. Next, examples of application of nonexperimental and experimental approaches to estimation of economic and social impacts of better health in low-income countries are presented. Two main results emerge from the examples. First, health in low-income countries can be improved through implementation of simple interventions, such as provision of communities with basic social services, supplementation of normal household diets with micronutrients, deworming of school children, and cash transfers to families conditional on illness prevention and health promotion behaviors. Second, there are large returns to health investments. However, since placement and utilization of health interventions may not be random with respect to health status (clinics for instance may be constructed in high morbidity villages and then used more intensively by educated people with fewer health problems than illiterate individuals), estimated direct impacts of better health may be contaminated by indirect effects of other factors. The chapter shows how IV regression methods and randomized experiments have been used to resolve this endogeneity problem. Since its emergence as a disease in\u2026", "author" : [ { "dropping-particle" : "", "family" : "Mwabu", "given" : "Germano", "non-dropping-particle" : "", "parse-names" : false, "suffix" : "" } ], "container-title" : "Elsevier B.V.", "editor" : [ { "dropping-particle" : "", "family" : "Schultz", "given" : "T. Paul", "non-dropping-particle" : "", "parse-names" : false, "suffix" : "" }, { "dropping-particle" : "", "family" : "Strauss", "given" : "John A.", "non-dropping-particle" : "", "parse-names" : false, "suffix" : "" } ], "id" : "ITEM-1", "issued" : { "date-parts" : [ [ "2007" ] ] }, "number-of-pages" : "3305-3374", "title" : "Handbook of Development Economics. Chapter 53 Health Economics for Low-Income Countries", "type" : "book", "volume" : "4" }, "uris" : [ "http://www.mendeley.com/documents/?uuid=ad40a98a-fef9-4df1-acfc-4dec83f5c6d9" ] } ], "mendeley" : { "formattedCitation" : "(Mwabu, 2007)", "plainTextFormattedCitation" : "(Mwabu, 2007)", "previouslyFormattedCitation" : "(Mwabu, 2007)" }, "properties" : {  }, "schema" : "https://github.com/citation-style-language/schema/raw/master/csl-citation.json" }</w:instrText>
      </w:r>
      <w:r>
        <w:fldChar w:fldCharType="separate"/>
      </w:r>
      <w:bookmarkStart w:id="70" w:name="__Fieldmark__730_513475976"/>
      <w:r>
        <w:rPr>
          <w:rFonts w:ascii="Calibri" w:hAnsi="Calibri" w:asciiTheme="majorHAnsi" w:hAnsiTheme="majorHAnsi"/>
          <w:lang w:val="en-GB"/>
        </w:rPr>
        <w:t>(</w:t>
      </w:r>
      <w:bookmarkStart w:id="71" w:name="__Fieldmark__2807_903549581"/>
      <w:r>
        <w:rPr>
          <w:rFonts w:ascii="Calibri" w:hAnsi="Calibri" w:asciiTheme="majorHAnsi" w:hAnsiTheme="majorHAnsi"/>
          <w:lang w:val="en-GB"/>
        </w:rPr>
        <w:t>Mwabu, 2007)</w:t>
      </w:r>
      <w:r>
        <w:rPr>
          <w:rFonts w:ascii="Calibri" w:hAnsi="Calibri" w:asciiTheme="majorHAnsi" w:hAnsiTheme="majorHAnsi"/>
          <w:lang w:val="en-GB"/>
        </w:rPr>
      </w:r>
      <w:r>
        <w:fldChar w:fldCharType="end"/>
      </w:r>
      <w:bookmarkEnd w:id="70"/>
      <w:bookmarkEnd w:id="71"/>
      <w:r>
        <w:rPr>
          <w:rFonts w:ascii="Calibri" w:hAnsi="Calibri" w:asciiTheme="majorHAnsi" w:hAnsiTheme="majorHAnsi"/>
          <w:lang w:val="en-GB"/>
        </w:rPr>
        <w:t xml:space="preserve">, some dissimilarities may be the result of the different disease burden, health system structure and market failures associated to supply and demand for healthcare. However, the main difference between LMICs and HICs is resources constraint, much more stringent for the former than for the latter.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2. Country focus of health economics articles 1990-2009</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391535"/>
                  <wp:effectExtent l="0" t="0" r="0" b="0"/>
                  <wp:docPr id="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
                          <pic:cNvPicPr>
                            <a:picLocks noChangeAspect="1" noChangeArrowheads="1"/>
                          </pic:cNvPicPr>
                        </pic:nvPicPr>
                        <pic:blipFill>
                          <a:blip r:embed="rId5"/>
                          <a:stretch>
                            <a:fillRect/>
                          </a:stretch>
                        </pic:blipFill>
                        <pic:spPr bwMode="auto">
                          <a:xfrm>
                            <a:off x="0" y="0"/>
                            <a:ext cx="5612130" cy="339153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Wagstaff A, Culyer AJ. 2012.</w:t>
            </w:r>
            <w:r>
              <w:rPr>
                <w:rFonts w:ascii="Calibri" w:hAnsi="Calibri" w:asciiTheme="majorHAnsi" w:hAnsiTheme="majorHAnsi"/>
                <w:b/>
                <w:bCs/>
                <w:i/>
                <w:lang w:val="en-GB"/>
              </w:rPr>
              <w:t xml:space="preserve"> </w:t>
            </w:r>
            <w:r>
              <w:rPr>
                <w:rFonts w:ascii="Calibri" w:hAnsi="Calibri" w:asciiTheme="majorHAnsi" w:hAnsiTheme="majorHAnsi"/>
                <w:bCs/>
                <w:i/>
                <w:lang w:val="en-GB"/>
              </w:rPr>
              <w:t xml:space="preserve">Four decades of health economics through a bibliometric lens. </w:t>
            </w:r>
            <w:r>
              <w:rPr>
                <w:rFonts w:ascii="Calibri" w:hAnsi="Calibri" w:asciiTheme="majorHAnsi" w:hAnsiTheme="majorHAnsi"/>
                <w:i/>
                <w:lang w:val="en-GB"/>
              </w:rPr>
              <w:t>J Health Econ. 2012 Mar;31(2):406-39.</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Peters </w:t>
      </w:r>
      <w:r>
        <w:rPr>
          <w:rFonts w:ascii="Calibri" w:hAnsi="Calibri" w:asciiTheme="majorHAnsi" w:hAnsiTheme="majorHAnsi"/>
          <w:i/>
          <w:lang w:val="en-GB"/>
        </w:rPr>
        <w:t>et al.</w:t>
      </w:r>
      <w:r>
        <w:rPr>
          <w:rFonts w:ascii="Calibri" w:hAnsi="Calibri" w:asciiTheme="majorHAnsi" w:hAnsiTheme="majorHAnsi"/>
          <w:lang w:val="en-GB"/>
        </w:rPr>
        <w:t xml:space="preserve"> developed a framework for analysing access to health services in LICs </w:t>
      </w:r>
      <w:r>
        <w:fldChar w:fldCharType="begin"/>
      </w:r>
      <w:r>
        <w:instrText>ADDIN CSL_CITATION { "citationItems" : [ { "id" : "ITEM-1",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"ITEM-1", "issued" : { "date-parts" : [ [ "2008" ] ] }, "page" : "161-171", "title" : "Poverty and access to health care in developing countries", "type" : "article-journal", "volume" : "1136" }, "uris" : [ "http://www.mendeley.com/documents/?uuid=e7e290e9-e373-4730-a149-d5b52d990ef1" ] } ], "mendeley" : { "formattedCitation" : "(Peters et al., 2008)", "plainTextFormattedCitation" : "(Peters et al., 2008)", "previouslyFormattedCitation" : "(Peters et al., 2008)" }, "properties" : {  }, "schema" : "https://github.com/citation-style-language/schema/raw/master/csl-citation.json" }</w:instrText>
      </w:r>
      <w:r>
        <w:fldChar w:fldCharType="separate"/>
      </w:r>
      <w:bookmarkStart w:id="72" w:name="__Fieldmark__755_513475976"/>
      <w:r>
        <w:rPr>
          <w:rFonts w:ascii="Calibri" w:hAnsi="Calibri" w:asciiTheme="majorHAnsi" w:hAnsiTheme="majorHAnsi"/>
          <w:lang w:val="en-GB"/>
        </w:rPr>
        <w:t>(</w:t>
      </w:r>
      <w:bookmarkStart w:id="73" w:name="__Fieldmark__2854_903549581"/>
      <w:r>
        <w:rPr>
          <w:rFonts w:ascii="Calibri" w:hAnsi="Calibri" w:asciiTheme="majorHAnsi" w:hAnsiTheme="majorHAnsi"/>
          <w:lang w:val="en-GB"/>
        </w:rPr>
        <w:t>Peters et al., 2008)</w:t>
      </w:r>
      <w:r>
        <w:rPr>
          <w:rFonts w:ascii="Calibri" w:hAnsi="Calibri" w:asciiTheme="majorHAnsi" w:hAnsiTheme="majorHAnsi"/>
          <w:lang w:val="en-GB"/>
        </w:rPr>
      </w:r>
      <w:r>
        <w:fldChar w:fldCharType="end"/>
      </w:r>
      <w:bookmarkEnd w:id="72"/>
      <w:bookmarkEnd w:id="73"/>
      <w:r>
        <w:rPr>
          <w:rFonts w:ascii="Calibri" w:hAnsi="Calibri" w:asciiTheme="majorHAnsi" w:hAnsiTheme="majorHAnsi"/>
          <w:lang w:val="en-GB"/>
        </w:rPr>
        <w:t>. It encompasses demand and supply constraints that limit geographical accessibility, availability, financial accessibility and acceptability (</w:t>
      </w:r>
      <w:r>
        <w:rPr>
          <w:rFonts w:ascii="Calibri" w:hAnsi="Calibri" w:asciiTheme="majorHAnsi" w:hAnsiTheme="majorHAnsi"/>
          <w:b/>
          <w:lang w:val="en-GB"/>
        </w:rPr>
        <w:t>figure 3</w:t>
      </w:r>
      <w:r>
        <w:rPr>
          <w:rFonts w:ascii="Calibri" w:hAnsi="Calibri" w:asciiTheme="majorHAnsi" w:hAnsiTheme="majorHAnsi"/>
          <w:lang w:val="en-GB"/>
        </w:rPr>
        <w:t>). Supply side challenges mostly consist of: (1) limited provision of healthcare due to the reduced number of health facilities, reduced number of health professionals and/or lack of proper roads or transportation means, all resulting in low availability of healthcare products and services; and (2) questionable quality of health services.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Closely related, demand challenges relate to: (1) limited access to healthcare due to the large geographical distances and long waiting times, (2) lack of information on both the disease and on its prevention and treatment, and (3) reduced financial availability, implying that even though healthcare services are provided for free, travel and other non-medical costs may still yield to catastrophic expenditures or barrier to access for the poorer individuals </w:t>
      </w:r>
      <w:r>
        <w:fldChar w:fldCharType="begin"/>
      </w:r>
      <w:r>
        <w:instrText>ADDIN CSL_CITATION { "citationItems" : [ { "id" : "ITEM-1", "itemData" : { "author" : [ { "dropping-particle" : "", "family" : "World Health Organization", "given" : "", "non-dropping-particle" : "", "parse-names" : false, "suffix" : "" } ], "id" : "ITEM-1", "issued" : { "date-parts" : [ [ "2010" ] ] }, "publisher-place" : "World Health Report 2010 Geneva: World Health Organization; 2010.", "title" : "Health systems financing. The path to universal coverage", "type" : "report" }, "uris" : [ "http://www.mendeley.com/documents/?uuid=736d5b89-1f79-4a3a-b1f7-7e79e0f38f87" ] } ], "mendeley" : { "formattedCitation" : "(World Health Organization, 2010b)", "plainTextFormattedCitation" : "(World Health Organization, 2010b)", "previouslyFormattedCitation" : "(World Health Organization, 2010b)" }, "properties" : {  }, "schema" : "https://github.com/citation-style-language/schema/raw/master/csl-citation.json" }</w:instrText>
      </w:r>
      <w:r>
        <w:fldChar w:fldCharType="separate"/>
      </w:r>
      <w:bookmarkStart w:id="74" w:name="__Fieldmark__766_513475976"/>
      <w:r>
        <w:rPr>
          <w:rFonts w:ascii="Calibri" w:hAnsi="Calibri" w:asciiTheme="majorHAnsi" w:hAnsiTheme="majorHAnsi"/>
          <w:lang w:val="en-GB"/>
        </w:rPr>
        <w:t>(</w:t>
      </w:r>
      <w:bookmarkStart w:id="75" w:name="__Fieldmark__2916_903549581"/>
      <w:r>
        <w:rPr>
          <w:rFonts w:ascii="Calibri" w:hAnsi="Calibri" w:asciiTheme="majorHAnsi" w:hAnsiTheme="majorHAnsi"/>
          <w:lang w:val="en-GB"/>
        </w:rPr>
        <w:t>World Health Organization, 2010b)</w:t>
      </w:r>
      <w:r>
        <w:rPr>
          <w:rFonts w:ascii="Calibri" w:hAnsi="Calibri" w:asciiTheme="majorHAnsi" w:hAnsiTheme="majorHAnsi"/>
          <w:lang w:val="en-GB"/>
        </w:rPr>
      </w:r>
      <w:r>
        <w:fldChar w:fldCharType="end"/>
      </w:r>
      <w:bookmarkEnd w:id="74"/>
      <w:bookmarkEnd w:id="75"/>
      <w:r>
        <w:rPr>
          <w:rFonts w:ascii="Calibri" w:hAnsi="Calibri" w:asciiTheme="majorHAnsi" w:hAnsiTheme="majorHAnsi"/>
          <w:lang w:val="en-GB"/>
        </w:rPr>
        <w:t>. This has an important effect on equity, as access to healthcare is normally more challenging among the poorest rather than among the richest.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9054" w:type="dxa"/>
        <w:jc w:val="left"/>
        <w:tblInd w:w="0" w:type="dxa"/>
        <w:tblCellMar>
          <w:top w:w="0" w:type="dxa"/>
          <w:left w:w="113" w:type="dxa"/>
          <w:bottom w:w="0" w:type="dxa"/>
          <w:right w:w="108" w:type="dxa"/>
        </w:tblCellMar>
        <w:tblLook w:val="04a0" w:noVBand="1" w:noHBand="0" w:lastColumn="0" w:firstColumn="1" w:lastRow="0" w:firstRow="1"/>
      </w:tblPr>
      <w:tblGrid>
        <w:gridCol w:w="9054"/>
      </w:tblGrid>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3. Conceptual framework for accessing to health services</w:t>
            </w:r>
          </w:p>
        </w:tc>
      </w:tr>
      <w:tr>
        <w:trPr/>
        <w:tc>
          <w:tcPr>
            <w:tcW w:w="9054"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612130" cy="396557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6"/>
                          <a:stretch>
                            <a:fillRect/>
                          </a:stretch>
                        </pic:blipFill>
                        <pic:spPr bwMode="auto">
                          <a:xfrm>
                            <a:off x="0" y="0"/>
                            <a:ext cx="5612130" cy="3965575"/>
                          </a:xfrm>
                          <a:prstGeom prst="rect">
                            <a:avLst/>
                          </a:prstGeom>
                        </pic:spPr>
                      </pic:pic>
                    </a:graphicData>
                  </a:graphic>
                </wp:inline>
              </w:drawing>
            </w:r>
          </w:p>
        </w:tc>
      </w:tr>
      <w:tr>
        <w:trPr/>
        <w:tc>
          <w:tcPr>
            <w:tcW w:w="9054"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Peters DH et al. 2008. Poverty and access to health care in developing countries. </w:t>
            </w:r>
            <w:r>
              <w:rPr>
                <w:rFonts w:ascii="Calibri" w:hAnsi="Calibri" w:asciiTheme="majorHAnsi" w:hAnsiTheme="majorHAnsi"/>
                <w:i/>
                <w:iCs/>
                <w:lang w:val="en-GB"/>
              </w:rPr>
              <w:t>Annals of the New York Academy of Sciences</w:t>
            </w:r>
            <w:r>
              <w:rPr>
                <w:rFonts w:ascii="Calibri" w:hAnsi="Calibri" w:asciiTheme="majorHAnsi" w:hAnsiTheme="majorHAnsi"/>
                <w:i/>
                <w:lang w:val="en-GB"/>
              </w:rPr>
              <w:t xml:space="preserve"> </w:t>
            </w:r>
            <w:r>
              <w:rPr>
                <w:rFonts w:ascii="Calibri" w:hAnsi="Calibri" w:asciiTheme="majorHAnsi" w:hAnsiTheme="majorHAnsi"/>
                <w:b/>
                <w:bCs/>
                <w:i/>
                <w:lang w:val="en-GB"/>
              </w:rPr>
              <w:t>1136</w:t>
            </w:r>
            <w:r>
              <w:rPr>
                <w:rFonts w:ascii="Calibri" w:hAnsi="Calibri" w:asciiTheme="majorHAnsi" w:hAnsiTheme="majorHAnsi"/>
                <w:i/>
                <w:lang w:val="en-GB"/>
              </w:rPr>
              <w:t>: 161–171.</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global health context, health economics encompasses different topics such as improving health systems financing and regulating strategies to tackle global health issues, as for the Ebola crisis and for global pandemics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"id" : "ITEM-3",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"ITEM-3", "issue" : "02", "issued" : { "date-parts" : [ [ "2017" ] ] }, "page" : "105-111", "title" : "Global health financing towards 2030 and beyond", "type" : "article-journal", "volume" : "12" }, "uris" : [ "http://www.mendeley.com/documents/?uuid=92826724-82ef-45ba-965e-b105bf0c69f5" ] }, { "id" : "ITEM-4",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"ITEM-4",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"id" : "ITEM-5",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"ITEM-5", "issue" : "02", "issued" : { "date-parts" : [ [ "2017" ] ] }, "page" : "121-124", "title" : "Global health financing and the need for a data revolution", "type" : "article-journal", "volume" : "12" }, "uris" : [ "http://www.mendeley.com/documents/?uuid=b0ae1534-e52e-4b1d-a1ba-0885d7c520c7" ] }, { "id" : "ITEM-6",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"ITEM-6", "issue" : "12", "issued" : { "date-parts" : [ [ "2010", "12", "1" ] ] }, "page" : "943-8", "title" : "Health transition in Africa: practical policy proposals for primary care.", "type" : "article-journal", "volume" : "88" }, "uris" : [ "http://www.mendeley.com/documents/?uuid=cdaded29-4584-3e5d-9c0c-794f30b833eb" ] }, { "id" : "ITEM-7",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"ITEM-7",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"(Farlow, 2016; Smith and Yip, 2016; Ottersen et al., 2017; Chatham House, 2014; Dieleman and Haakenstad, 2017; Maher et al., 2010; Morton et al., 2016)", "plainTextFormattedCitation" : "(Farlow, 2016; Smith and Yip, 2016; Ottersen et al., 2017; Chatham House, 2014; Dieleman and Haakenstad, 2017; Maher et al., 2010; Morton et al., 2016)", "previouslyFormattedCitation" : "(Farlow, 2016; Smith and Yip, 2016; Ottersen et al., 2017; Chatham House, 2014; Dieleman and Haakenstad, 2017; Maher et al., 2010; Morton et al., 2016)" }, "properties" : {  }, "schema" : "https://github.com/citation-style-language/schema/raw/master/csl-citation.json" }</w:instrText>
      </w:r>
      <w:r>
        <w:fldChar w:fldCharType="separate"/>
      </w:r>
      <w:bookmarkStart w:id="76" w:name="__Fieldmark__790_513475976"/>
      <w:r>
        <w:rPr>
          <w:rFonts w:ascii="Calibri" w:hAnsi="Calibri" w:asciiTheme="majorHAnsi" w:hAnsiTheme="majorHAnsi"/>
          <w:lang w:val="en-GB"/>
        </w:rPr>
        <w:t>(</w:t>
      </w:r>
      <w:bookmarkStart w:id="77" w:name="__Fieldmark__2965_903549581"/>
      <w:r>
        <w:rPr>
          <w:rFonts w:ascii="Calibri" w:hAnsi="Calibri" w:asciiTheme="majorHAnsi" w:hAnsiTheme="majorHAnsi"/>
          <w:lang w:val="en-GB"/>
        </w:rPr>
        <w:t>Farlow, 2016; Smith and Yip, 2016; Ottersen et al., 2017; Chatham House, 2014; Dieleman and Haakenstad, 2017; Maher et al., 2010; Morton et al., 2016)</w:t>
      </w:r>
      <w:r>
        <w:rPr>
          <w:rFonts w:ascii="Calibri" w:hAnsi="Calibri" w:asciiTheme="majorHAnsi" w:hAnsiTheme="majorHAnsi"/>
          <w:lang w:val="en-GB"/>
        </w:rPr>
      </w:r>
      <w:r>
        <w:fldChar w:fldCharType="end"/>
      </w:r>
      <w:bookmarkEnd w:id="76"/>
      <w:bookmarkEnd w:id="77"/>
      <w:r>
        <w:rPr>
          <w:rFonts w:ascii="Calibri" w:hAnsi="Calibri" w:asciiTheme="majorHAnsi" w:hAnsiTheme="majorHAnsi"/>
          <w:lang w:val="en-GB"/>
        </w:rPr>
        <w:t xml:space="preserve">, evaluating the implementation of new health technology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"ITEM-2",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"ITEM-3",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"ITEM-3", "issue" : "2", "issued" : { "date-parts" : [ [ "2009" ] ] }, "page" : "184-192", "title" : "Public health policy decisions on medical innovations: What role can early economic evaluation play?", "type" : "article-journal", "volume" : "89" }, "uris" : [ "http://www.mendeley.com/documents/?uuid=c8d1d9b3-0244-49e8-b123-fb0c358010f3" ] }, { "id" : "ITEM-4",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"ITEM-4", "issue" : "1", "issued" : { "date-parts" : [ [ "2012" ] ] }, "page" : "17", "title" : "Estimating cost-effectiveness in public health: a summary of modelling and valuation methods", "type" : "article-journal", "volume" : "2" }, "uris" : [ "http://www.mendeley.com/documents/?uuid=5d40d432-5fce-4b4e-86c2-03b5e339336f" ] }, { "id" : "ITEM-5",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"ITEM-5",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Golan et al., 2011; Hartz and John, 2009; Marsh et al., 2012; Postmus et al., 2014)", "plainTextFormattedCitation" : "(Brousselle and Lessard, 2011; Golan et al., 2011; Hartz and John, 2009; Marsh et al., 2012; Postmus et al., 2014)", "previouslyFormattedCitation" : "(Brousselle and Lessard, 2011; Golan et al., 2011; Hartz and John, 2009; Marsh et al., 2012; Postmus et al., 2014)" }, "properties" : {  }, "schema" : "https://github.com/citation-style-language/schema/raw/master/csl-citation.json" }</w:instrText>
      </w:r>
      <w:r>
        <w:fldChar w:fldCharType="separate"/>
      </w:r>
      <w:bookmarkStart w:id="78" w:name="__Fieldmark__797_513475976"/>
      <w:r>
        <w:rPr>
          <w:rFonts w:ascii="Calibri" w:hAnsi="Calibri" w:asciiTheme="majorHAnsi" w:hAnsiTheme="majorHAnsi"/>
          <w:lang w:val="en-GB"/>
        </w:rPr>
        <w:t>(</w:t>
      </w:r>
      <w:bookmarkStart w:id="79" w:name="__Fieldmark__2972_903549581"/>
      <w:r>
        <w:rPr>
          <w:rFonts w:ascii="Calibri" w:hAnsi="Calibri" w:asciiTheme="majorHAnsi" w:hAnsiTheme="majorHAnsi"/>
          <w:lang w:val="en-GB"/>
        </w:rPr>
        <w:t>Brousselle and Lessard, 2011; Golan et al., 2011; Hartz and John, 2009; Marsh et al., 2012; Postmus et al., 2014)</w:t>
      </w:r>
      <w:r>
        <w:rPr>
          <w:rFonts w:ascii="Calibri" w:hAnsi="Calibri" w:asciiTheme="majorHAnsi" w:hAnsiTheme="majorHAnsi"/>
          <w:lang w:val="en-GB"/>
        </w:rPr>
      </w:r>
      <w:r>
        <w:fldChar w:fldCharType="end"/>
      </w:r>
      <w:bookmarkEnd w:id="78"/>
      <w:bookmarkEnd w:id="79"/>
      <w:r>
        <w:rPr>
          <w:rFonts w:ascii="Calibri" w:hAnsi="Calibri" w:asciiTheme="majorHAnsi" w:hAnsiTheme="majorHAnsi"/>
          <w:lang w:val="en-GB"/>
        </w:rPr>
        <w:t xml:space="preserve"> as well as identifying and measuring equity in the access to healthcare and its financing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"ITEM-2", "issue" : "1", "issued" : { "date-parts" : [ [ "2015" ] ] }, "page" : "1-12", "title" : "Inequalities in health: Definitions, concepts, and theories", "type" : "article-journal", "volume" : "8" }, "uris" : [ "http://www.mendeley.com/documents/?uuid=e7287f21-4426-470e-9d33-c809cd319435" ] }, { "id" : "ITEM-3",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"ITEM-3", "issue" : "7", "issued" : { "date-parts" : [ [ "2014" ] ] }, "page" : "927-937", "title" : "Does the distribution of healthcare utilization match needs in Africa?", "type" : "article-journal", "volume" : "29" }, "uris" : [ "http://www.mendeley.com/documents/?uuid=6199dadd-30e0-4a16-bfe0-0a6ec30c9b35" ] }, { "id" : "ITEM-4",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"ITEM-4",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"(van Doorslaer and O\u2019Donnell, 2011; Arcaya et al., 2015; Bonfrer et al., 2014; Ciss\u00e9 et al., 2007)", "plainTextFormattedCitation" : "(van Doorslaer and O\u2019Donnell, 2011; Arcaya et al., 2015; Bonfrer et al., 2014; Ciss\u00e9 et al., 2007)", "previouslyFormattedCitation" : "(van Doorslaer and O\u2019Donnell, 2011; Arcaya et al., 2015; Bonfrer et al., 2014; Ciss\u00e9 et al., 2007)" }, "properties" : {  }, "schema" : "https://github.com/citation-style-language/schema/raw/master/csl-citation.json" }</w:instrText>
      </w:r>
      <w:r>
        <w:fldChar w:fldCharType="separate"/>
      </w:r>
      <w:bookmarkStart w:id="80" w:name="__Fieldmark__804_513475976"/>
      <w:r>
        <w:rPr>
          <w:rFonts w:ascii="Calibri" w:hAnsi="Calibri" w:asciiTheme="majorHAnsi" w:hAnsiTheme="majorHAnsi"/>
          <w:lang w:val="en-GB"/>
        </w:rPr>
        <w:t>(</w:t>
      </w:r>
      <w:bookmarkStart w:id="81" w:name="__Fieldmark__2984_903549581"/>
      <w:r>
        <w:rPr>
          <w:rFonts w:ascii="Calibri" w:hAnsi="Calibri" w:asciiTheme="majorHAnsi" w:hAnsiTheme="majorHAnsi"/>
          <w:lang w:val="en-GB"/>
        </w:rPr>
        <w:t>van Doorslaer and O’Donnell, 2011; Arcaya et al., 2015; Bonfrer et al., 2014; Cissé et al., 2007)</w:t>
      </w:r>
      <w:r>
        <w:rPr>
          <w:rFonts w:ascii="Calibri" w:hAnsi="Calibri" w:asciiTheme="majorHAnsi" w:hAnsiTheme="majorHAnsi"/>
          <w:lang w:val="en-GB"/>
        </w:rPr>
      </w:r>
      <w:r>
        <w:fldChar w:fldCharType="end"/>
      </w:r>
      <w:bookmarkEnd w:id="80"/>
      <w:bookmarkEnd w:id="81"/>
      <w:r>
        <w:rPr>
          <w:rFonts w:ascii="Calibri" w:hAnsi="Calibri" w:asciiTheme="majorHAnsi" w:hAnsiTheme="majorHAnsi"/>
          <w:lang w:val="en-GB"/>
        </w:rPr>
        <w:t>.</w:t>
      </w:r>
      <w:r>
        <w:rPr>
          <w:rFonts w:ascii="Calibri" w:hAnsi="Calibri" w:asciiTheme="majorHAnsi" w:hAnsiTheme="majorHAnsi"/>
          <w:lang w:val="en-US"/>
        </w:rPr>
        <w:t xml:space="preserve"> A conspicuous amount of health economics studies has either measured or estimated costs associated with the management of diseases (the so-called cost-of-illness studies) or with specific interventions or new technologies aimed at speeding the reduction of the disease burden. These studies have provided relevant information for policy makers in their decision process </w:t>
      </w:r>
      <w:r>
        <w:fldChar w:fldCharType="begin"/>
      </w:r>
      <w:r>
        <w:instrText>ADDIN CSL_CITATION { "citationItems" : [ { "id" : "ITEM-1",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"ITEM-1", "issue" : "12", "issued" : { "date-parts" : [ [ "2017" ] ] }, "page" : "1579-1589", "title" : "Cost of visceral leishmaniasis care in Brazil", "type" : "article-journal", "volume" : "22" }, "uris" : [ "http://www.mendeley.com/documents/?uuid=4010c36a-c10e-4110-9691-f3beb4696ef0" ] }, { "id" : "ITEM-2",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"ITEM-2", "issue" : "july", "issued" : { "date-parts" : [ [ "2010" ] ] }, "page" : "1-3", "title" : "The burden of visceral leishmaniasis in South Asia", "type" : "article-journal", "volume" : "15" }, "uris" : [ "http://www.mendeley.com/documents/?uuid=a28fda0c-fcf7-4a61-a46d-fe78c7616891" ] }, { "id" : "ITEM-3",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"ITEM-3", "issue" : "2", "issued" : { "date-parts" : [ [ "2013" ] ] }, "title" : "The Household Costs of Visceral Leishmaniasis Care in South-eastern Nepal", "type" : "article-journal", "volume" : "7" }, "uris" : [ "http://www.mendeley.com/documents/?uuid=311dc900-0065-4b5e-819e-d6f698058de3" ] }, { "id" : "ITEM-4", "itemData" : { "DOI" : "10.1371/journal.pntd.0004494", "ISBN" : "1935-2727", "ISSN" : "19352735", "PMID" : "27031515", "abstract" : "BACKGROUND: Information on costs associated with malaria in pregnancy (MiP) in low transmission areas where Plasmodium vivax predominates is so far missing. This study estimates health system and patient costs of MiP in the Brazilian Amazon. METHODS/PRINCIPAL FINDINGS: Between January 2011 and March 2012 patient costs for the treatment of MiP were collected through an exit survey at a tertiary referral hospital and at a primary health care centre in the Manaus metropolitan area, Amazonas state. Pregnant and post-partum women diagnosed with malaria were interviewed after an outpatient consultation or at discharge after admission. Seventy-three interviews were included in the analysis. Ninety-six percent of episodes were due to P. vivax and 4% to Plasmodium falciparum. In 2010, the total median costs from the patient perspective were estimated at US $45.91 and US $216.29 for an outpatient consultation and an admission, respectively. When multiple P. vivax infections during the same pregnancy were considered, patient costs increased up to US $335.85, representing the costs of an admission plus an outpatient consultation. Provider direct and overhead cost data were obtained from several sources. The provider cost associated with an outpatient case, which includes several consultations at the tertiary hospital was US $103.51 for a P. vivax malaria episode and US $83.59 for a P. falciparum malaria episode. The cost of an inpatient day and average admission of 3 days was US $118.51 and US $355.53, respectively. Total provider costs for the diagnosis and treatment of all malaria cases reported in pregnant women in Manaus in 2010 (N = 364) were US $17,038.50, of which 92.4% (US$ 15,741.14) due to P. vivax infection. CONCLUSION: Despite being an area of low risk malaria transmission, MiP is responsible for a significant economic burden in Manaus. Especially when multiple infections are considered, costs associated with P. vivax are higher than costs associated with P. falciparum. The information generated may help health policy decisions for the current control and future elimination of malaria in the area.", "author" : [ { "dropping-particle" : "", "family" : "B\u00f4tto-Menezes", "given" : "Camila", "non-dropping-particle" : "", "parse-names" : false, "suffix" : "" }, { "dropping-particle" : "", "family" : "Bardaj\u00ed", "given" : "Azucena", "non-dropping-particle" : "", "parse-names" : false, "suffix" : "" }, { "dropping-particle" : "", "family" : "Santos Campos", "given" : "Giselane", "non-dropping-particle" : "dos", "parse-names" : false, "suffix" : "" }, { "dropping-particle" : "", "family" : "Fernandes", "given" : "Silke", "non-dropping-particle" : "", "parse-names" : false, "suffix" : "" }, { "dropping-particle" : "", "family" : "Hanson", "given" : "Kara", "non-dropping-particle" : "", "parse-names" : false, "suffix" : "" }, { "dropping-particle" : "", "family" : "Mart\u00ednez-Espinosa", "given" : "Flor Ernestina", "non-dropping-particle" : "", "parse-names" : false, "suffix" : "" }, { "dropping-particle" : "", "family" : "Men\u00e9ndez", "given" : "Clara", "non-dropping-particle" : "", "parse-names" : false, "suffix" : "" }, { "dropping-particle" : "", "family" : "Sicuri", "given" : "Elisa", "non-dropping-particle" : "", "parse-names" : false, "suffix" : "" } ], "container-title" : "PLoS Neglected Tropical Diseases", "id" : "ITEM-4", "issue" : "3", "issued" : { "date-parts" : [ [ "2016" ] ] }, "page" : "1-19", "title" : "Costs Associated with Malaria in Pregnancy in the Brazilian Amazon, a Low Endemic Area Where Plasmodium vivax Predominates", "type" : "article-journal", "volume" : "10" }, "uris" : [ "http://www.mendeley.com/documents/?uuid=17abe9e3-d28a-477e-bdb3-64891fe97545" ] }, { "id" : "ITEM-5", "itemData" : { "DOI" : "10.1186/1475-2875-12-307", "ISBN" : "1475287512307", "ISSN" : "14752875", "PMID" : "24004482", "abstract" : "BACKGROUND: Malaria causes significant mortality and morbidity in sub-Saharan Africa (SSA), especially among children less than five years of age (U5 children). Although the economic burden of malaria in this region has been assessed previously, the extent and variation of this burden remains unclear. This study aimed to estimate the economic costs of malaria in U5 children in three countries (Ghana, Tanzania and Kenya).\\n\\nMETHODS: Health system and household costs previously estimated were integrated with costs associated with co-morbidities, complications and productivity losses due to death. Several models were developed to estimate the expected treatment cost per episode per child, across different age groups, by level of severity and with or without controlling for treatment-seeking behaviour. Total annual costs (2009) were calculated by multiplying the treatment cost per episode according to severity by the number of episodes. Annual health system prevention costs were added to this estimate.\\n\\nRESULTS: Household and health system costs per malaria episode ranged from approximately US$ 5 for non-complicated malaria in Tanzania to US$ 288 for cerebral malaria with neurological sequelae in Kenya. On average, up to 55% of these costs in Ghana and Tanzania and 70% in Kenya were assumed by the household, and of these costs 46% in Ghana and 85% in Tanzania and Kenya were indirect costs. Expected values of potential future earnings (in thousands) lost due to premature death of children aged 0-1 and 1-4 years were US$ 11.8 and US$ 13.8 in Ghana, US$ 6.9 and US$ 8.1 in Tanzania, and US$ 7.6 and US$ 8.9 in Kenya, respectively. The expected treatment costs per episode per child ranged from a minimum of US$ 1.29 for children aged 2-11 months in Tanzania to a maximum of US$ 22.9 for children aged 0-24 months in Kenya. The total annual costs (in millions) were estimated at US$ 37.8, US$ 131.9 and US$ 109.0 nationwide in Ghana, Tanzania and Kenya and included average treatment costs per case of US$ 11.99, US$ 6.79 and US$ 20.54, respectively.\\n\\nCONCLUSION: This study provides important insight into the economic burden of malaria in SSA that may assist policy makers when designing future malaria control interventions.", "author" : [ { "dropping-particle" : "", "family" : "Sicuri", "given" : "Elisa", "non-dropping-particle" : "", "parse-names" : false, "suffix" : "" }, { "dropping-particle" : "", "family" : "Vieta", "given" : "Ana", "non-dropping-particle" : "", "parse-names" : false, "suffix" : "" }, { "dropping-particle" : "", "family" : "Lindner", "given" : "Leandro", "non-dropping-particle" : "", "parse-names" : false, "suffix" : "" }, { "dropping-particle" : "", "family" : "Constenla", "given" : "Dagna", "non-dropping-particle" : "", "parse-names" : false, "suffix" : "" }, { "dropping-particle" : "", "family" : "Sauboin", "given" : "Christophe", "non-dropping-particle" : "", "parse-names" : false, "suffix" : "" } ], "container-title" : "Malaria Journal", "id" : "ITEM-5", "issue" : "1", "issued" : { "date-parts" : [ [ "2013" ] ] }, "page" : "1", "publisher" : "Malaria Journal", "title" : "The economic costs of malaria in children in three sub-Saharan countries: Ghana, Tanzania and Kenya", "type" : "article-journal", "volume" : "12" }, "uris" : [ "http://www.mendeley.com/documents/?uuid=3e360db6-5a3a-4c38-b08b-bc00be6e6de8" ] } ], "mendeley" : { "formattedCitation" : "(de Carvalho et al., 2017; Meheus and Boelaert, 2010; Uranw et al., 2013; B\u00f4tto-Menezes et al., 2016; Sicuri et al., 2013)", "plainTextFormattedCitation" : "(de Carvalho et al., 2017; Meheus and Boelaert, 2010; Uranw et al., 2013; B\u00f4tto-Menezes et al., 2016; Sicuri et al., 2013)", "previouslyFormattedCitation" : "(de Carvalho et al., 2017; Meheus and Boelaert, 2010; Uranw et al., 2013; B\u00f4tto-Menezes et al., 2016; Sicuri et al., 2013)" }, "properties" : {  }, "schema" : "https://github.com/citation-style-language/schema/raw/master/csl-citation.json" }</w:instrText>
      </w:r>
      <w:r>
        <w:fldChar w:fldCharType="separate"/>
      </w:r>
      <w:bookmarkStart w:id="82" w:name="__Fieldmark__812_513475976"/>
      <w:r>
        <w:rPr>
          <w:rFonts w:ascii="Calibri" w:hAnsi="Calibri" w:asciiTheme="majorHAnsi" w:hAnsiTheme="majorHAnsi"/>
          <w:lang w:val="en-US"/>
        </w:rPr>
        <w:t>(</w:t>
      </w:r>
      <w:bookmarkStart w:id="83" w:name="__Fieldmark__2999_903549581"/>
      <w:r>
        <w:rPr>
          <w:rFonts w:ascii="Calibri" w:hAnsi="Calibri" w:asciiTheme="majorHAnsi" w:hAnsiTheme="majorHAnsi"/>
          <w:lang w:val="en-US"/>
        </w:rPr>
        <w:t>de Carvalho et al., 2017; Meheus and Boelaert, 2010; Uranw et al., 2013; Bôtto-Menezes et al., 2016; Sicuri et al., 2013)</w:t>
      </w:r>
      <w:r>
        <w:rPr>
          <w:rFonts w:ascii="Calibri" w:hAnsi="Calibri" w:asciiTheme="majorHAnsi" w:hAnsiTheme="majorHAnsi"/>
          <w:lang w:val="en-US"/>
        </w:rPr>
      </w:r>
      <w:r>
        <w:fldChar w:fldCharType="end"/>
      </w:r>
      <w:bookmarkEnd w:id="82"/>
      <w:bookmarkEnd w:id="83"/>
      <w:r>
        <w:rPr>
          <w:rFonts w:ascii="Calibri" w:hAnsi="Calibri" w:asciiTheme="majorHAnsi" w:hAnsiTheme="majorHAnsi"/>
          <w:lang w:val="en-US"/>
        </w:rPr>
        <w:t>.</w:t>
      </w:r>
      <w:r>
        <w:rPr>
          <w:rFonts w:ascii="Calibri" w:hAnsi="Calibri" w:asciiTheme="majorHAnsi" w:hAnsiTheme="majorHAnsi"/>
          <w:lang w:val="en-GB"/>
        </w:rPr>
        <w:t xml:space="preserve"> </w:t>
      </w:r>
      <w:r>
        <w:rPr>
          <w:rFonts w:ascii="Calibri" w:hAnsi="Calibri" w:asciiTheme="majorHAnsi" w:hAnsiTheme="majorHAnsi"/>
          <w:lang w:val="en-US"/>
        </w:rPr>
        <w:t xml:space="preserve">At the edge between health economics and development economics lies the research focused on </w:t>
      </w:r>
      <w:r>
        <w:rPr>
          <w:rFonts w:ascii="Calibri" w:hAnsi="Calibri" w:asciiTheme="majorHAnsi" w:hAnsiTheme="majorHAnsi"/>
          <w:lang w:val="en-GB"/>
        </w:rPr>
        <w:t xml:space="preserve">disentangling the relationship between health and economic growth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"id" : "ITEM-3",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"ITEM-3", "issue" : "7", "issued" : { "date-parts" : [ [ "2010", "10", "1" ] ] }, "page" : "859-872", "publisher" : "North-Holland", "title" : "Diseases, infection dynamics, and development", "type" : "article-journal", "volume" : "57" }, "uris" : [ "http://www.mendeley.com/documents/?uuid=d7c023d6-0934-3ac4-8886-0fef31885d2f" ] }, { "id" : "ITEM-4",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"ITEM-4", "issue" : "1-2 Suppl", "issued" : { "date-parts" : [ [ "2001" ] ] }, "page" : "85-96", "title" : "The economic burden of malaria.", "type" : "article-journal", "volume" : "64" }, "uris" : [ "http://www.mendeley.com/documents/?uuid=ec0fc69c-a2e9-4d89-adbc-2b85d5cfefbb" ] }, { "id" : "ITEM-5",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"ITEM-5", "issued" : { "date-parts" : [ [ "2014", "1" ] ] }, "page" : "34-53", "title" : "Infectious diseases and economic growth", "type" : "article-journal", "volume" : "50" }, "uris" : [ "http://www.mendeley.com/documents/?uuid=3ca4d02e-6764-3968-bc19-b058a4d1e91e" ] }, { "id" : "ITEM-6",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"ITEM-6", "issued" : { "date-parts" : [ [ "2015" ] ] }, "publisher-place" : "Working Paper 2015/086. UNU-WIDER", "title" : "Does HIV/AIDS matter for economic growth in sub-Saharan Africa?", "type" : "report" }, "uris" : [ "http://www.mendeley.com/documents/?uuid=4058bcb6-66e3-4442-b6d5-3884917ca2f0" ] }, { "id" : "ITEM-7",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"ITEM-7", "issue" : "6872", "issued" : { "date-parts" : [ [ "2002", "2", "7" ] ] }, "page" : "680-5", "title" : "The economic and social burden of malaria.", "type" : "article-journal", "volume" : "415" }, "uris" : [ "http://www.mendeley.com/documents/?uuid=539f1897-6e2f-45c4-95cb-984ec05fd144" ] } ], "mendeley" : { "formattedCitation" : "(Acemoglu and Johnson, 2007; Audibert et al., 2013; Shankha Chakraborty et al., 2010; Gallup and Sachs, 2001; Goenka et al., 2014; Mveyange et al., 2015; Sachs and Malaney, 2002)", "plainTextFormattedCitation" : "(Acemoglu and Johnson, 2007; Audibert et al., 2013; Shankha Chakraborty et al., 2010; Gallup and Sachs, 2001; Goenka et al., 2014; Mveyange et al., 2015; Sachs and Malaney, 2002)", "previouslyFormattedCitation" : "(Acemoglu and Johnson, 2007; Audibert et al., 2013; Shankha Chakraborty et al., 2010; Gallup and Sachs, 2001; Goenka et al., 2014; Mveyange et al., 2015; Sachs and Malaney, 2002)" }, "properties" : {  }, "schema" : "https://github.com/citation-style-language/schema/raw/master/csl-citation.json" }</w:instrText>
      </w:r>
      <w:r>
        <w:fldChar w:fldCharType="separate"/>
      </w:r>
      <w:bookmarkStart w:id="84" w:name="__Fieldmark__822_513475976"/>
      <w:r>
        <w:rPr>
          <w:rFonts w:ascii="Calibri" w:hAnsi="Calibri" w:asciiTheme="majorHAnsi" w:hAnsiTheme="majorHAnsi"/>
          <w:lang w:val="en-GB"/>
        </w:rPr>
        <w:t>(</w:t>
      </w:r>
      <w:bookmarkStart w:id="85" w:name="__Fieldmark__3011_903549581"/>
      <w:r>
        <w:rPr>
          <w:rFonts w:ascii="Calibri" w:hAnsi="Calibri" w:asciiTheme="majorHAnsi" w:hAnsiTheme="majorHAnsi"/>
          <w:lang w:val="en-GB"/>
        </w:rPr>
        <w:t>Acemoglu and Johnson, 2007; Audibert et al., 2013; Shankha Chakraborty et al., 2010; Gallup and Sachs, 2001; Goenka et al., 2014; Mveyange et al., 2015; Sachs and Malaney, 2002)</w:t>
      </w:r>
      <w:r>
        <w:rPr>
          <w:rFonts w:ascii="Calibri" w:hAnsi="Calibri" w:asciiTheme="majorHAnsi" w:hAnsiTheme="majorHAnsi"/>
          <w:lang w:val="en-GB"/>
        </w:rPr>
      </w:r>
      <w:r>
        <w:fldChar w:fldCharType="end"/>
      </w:r>
      <w:bookmarkEnd w:id="84"/>
      <w:bookmarkEnd w:id="8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Grossman described the health production function </w:t>
      </w:r>
      <w:r>
        <w:fldChar w:fldCharType="begin"/>
      </w:r>
      <w:r>
        <w:instrText>ADDIN CSL_CITATION { "citationItems" : [ { "id" : "ITEM-1", "itemData" : { "author" : [ { "dropping-particle" : "", "family" : "Grossman", "given" : "Michael", "non-dropping-particle" : "", "parse-names" : false, "suffix" : "" } ], "container-title" : "The Journal of Political Economy", "id" : "ITEM-1", "issue" : "2", "issued" : { "date-parts" : [ [ "1972" ] ] }, "page" : "223-255", "title" : "On the Concept of Health Capital and the Demand for Health On the Concept of Health Capital and the Demand for Health", "type" : "article-journal", "volume" : "80" }, "uris" : [ "http://www.mendeley.com/documents/?uuid=98e06a4b-1afa-489d-998f-957d6c50519b" ] } ], "mendeley" : { "formattedCitation" : "(Grossman, 1972)", "plainTextFormattedCitation" : "(Grossman, 1972)", "previouslyFormattedCitation" : "(Grossman, 1972)" }, "properties" : {  }, "schema" : "https://github.com/citation-style-language/schema/raw/master/csl-citation.json" }</w:instrText>
      </w:r>
      <w:r>
        <w:fldChar w:fldCharType="separate"/>
      </w:r>
      <w:bookmarkStart w:id="86" w:name="__Fieldmark__831_513475976"/>
      <w:r>
        <w:rPr>
          <w:rFonts w:ascii="Calibri" w:hAnsi="Calibri" w:asciiTheme="majorHAnsi" w:hAnsiTheme="majorHAnsi"/>
          <w:lang w:val="en-GB"/>
        </w:rPr>
        <w:t>(</w:t>
      </w:r>
      <w:bookmarkStart w:id="87" w:name="__Fieldmark__3018_903549581"/>
      <w:r>
        <w:rPr>
          <w:rFonts w:ascii="Calibri" w:hAnsi="Calibri" w:asciiTheme="majorHAnsi" w:hAnsiTheme="majorHAnsi"/>
          <w:lang w:val="en-GB"/>
        </w:rPr>
        <w:t>Grossman, 1972)</w:t>
      </w:r>
      <w:r>
        <w:rPr>
          <w:rFonts w:ascii="Calibri" w:hAnsi="Calibri" w:asciiTheme="majorHAnsi" w:hAnsiTheme="majorHAnsi"/>
          <w:lang w:val="en-GB"/>
        </w:rPr>
      </w:r>
      <w:r>
        <w:fldChar w:fldCharType="end"/>
      </w:r>
      <w:bookmarkEnd w:id="86"/>
      <w:bookmarkEnd w:id="87"/>
      <w:r>
        <w:rPr>
          <w:rFonts w:ascii="Calibri" w:hAnsi="Calibri" w:asciiTheme="majorHAnsi" w:hAnsiTheme="majorHAnsi"/>
          <w:lang w:val="en-GB"/>
        </w:rPr>
        <w:t xml:space="preserve">, several economists have tried to identify the relationship between health and economic growth or development. Theoretically, infectious diseases influence economic development as mortality and morbidity burden may induce a poverty trap by diminishing the saving-investment propensity </w:t>
      </w:r>
      <w:r>
        <w:fldChar w:fldCharType="begin"/>
      </w:r>
      <w:r>
        <w:instrText>ADDIN CSL_CITATION { "citationItems" : [ { "id" : "ITEM-1", "itemData" : { "DOI" : "10.1016/J.JMONECO.2010.08.004", "ISSN" : "0304-3932", "author" : [ { "dropping-particle" : "", "family" : "Shankha Chakraborty", "given" : "", "non-dropping-particle" : "", "parse-names" : false, "suffix" : "" }, { "dropping-particle" : "", "family" : "Chris Papageorgiou", "given" : "", "non-dropping-particle" : "", "parse-names" : false, "suffix" : "" }, { "dropping-particle" : "", "family" : "Sebastien", "given" : "Fidel Perez", "non-dropping-particle" : "", "parse-names" : false, "suffix" : "" } ], "container-title" : "Journal of Monetary Economics", "id" : "ITEM-1", "issue" : "7", "issued" : { "date-parts" : [ [ "2010", "10", "1" ] ] }, "page" : "859-872", "publisher" : "North-Holland", "title" : "Diseases, infection dynamics, and development", "type" : "article-journal", "volume" : "57" }, "uris" : [ "http://www.mendeley.com/documents/?uuid=d7c023d6-0934-3ac4-8886-0fef31885d2f" ] } ], "mendeley" : { "formattedCitation" : "(Shankha Chakraborty et al., 2010)", "plainTextFormattedCitation" : "(Shankha Chakraborty et al., 2010)", "previouslyFormattedCitation" : "(Shankha Chakraborty et al., 2010)" }, "properties" : {  }, "schema" : "https://github.com/citation-style-language/schema/raw/master/csl-citation.json" }</w:instrText>
      </w:r>
      <w:r>
        <w:fldChar w:fldCharType="separate"/>
      </w:r>
      <w:bookmarkStart w:id="88" w:name="__Fieldmark__838_513475976"/>
      <w:r>
        <w:rPr>
          <w:rFonts w:ascii="Calibri" w:hAnsi="Calibri" w:asciiTheme="majorHAnsi" w:hAnsiTheme="majorHAnsi"/>
          <w:lang w:val="en-GB"/>
        </w:rPr>
        <w:t>(</w:t>
      </w:r>
      <w:bookmarkStart w:id="89" w:name="__Fieldmark__3041_903549581"/>
      <w:r>
        <w:rPr>
          <w:rFonts w:ascii="Calibri" w:hAnsi="Calibri" w:asciiTheme="majorHAnsi" w:hAnsiTheme="majorHAnsi"/>
          <w:lang w:val="en-GB"/>
        </w:rPr>
        <w:t>Shankha Chakraborty et al., 2010)</w:t>
      </w:r>
      <w:r>
        <w:rPr>
          <w:rFonts w:ascii="Calibri" w:hAnsi="Calibri" w:asciiTheme="majorHAnsi" w:hAnsiTheme="majorHAnsi"/>
          <w:lang w:val="en-GB"/>
        </w:rPr>
      </w:r>
      <w:r>
        <w:fldChar w:fldCharType="end"/>
      </w:r>
      <w:bookmarkEnd w:id="88"/>
      <w:bookmarkEnd w:id="89"/>
      <w:r>
        <w:rPr>
          <w:rFonts w:ascii="Calibri" w:hAnsi="Calibri" w:asciiTheme="majorHAnsi" w:hAnsiTheme="majorHAnsi"/>
          <w:lang w:val="en-GB"/>
        </w:rPr>
        <w:t xml:space="preserve">; they may also reduce growth through decreasing the labour supply and investment in human capital </w:t>
      </w:r>
      <w:r>
        <w:fldChar w:fldCharType="begin"/>
      </w:r>
      <w:r>
        <w:instrText>ADDIN CSL_CITATION { "citationItems" : [ { "id" : "ITEM-1", "itemData" : { "DOI" : "10.1016/j.jmateco.2013.10.004", "ISSN" : "03044068", "author" : [ { "dropping-particle" : "", "family" : "Goenka", "given" : "Aditya", "non-dropping-particle" : "", "parse-names" : false, "suffix" : "" }, { "dropping-particle" : "", "family" : "Liu", "given" : "Lin", "non-dropping-particle" : "", "parse-names" : false, "suffix" : "" }, { "dropping-particle" : "", "family" : "Nguyen", "given" : "Manh-Hung", "non-dropping-particle" : "", "parse-names" : false, "suffix" : "" } ], "container-title" : "Journal of Mathematical Economics", "id" : "ITEM-1", "issued" : { "date-parts" : [ [ "2014", "1" ] ] }, "page" : "34-53", "title" : "Infectious diseases and economic growth", "type" : "article-journal", "volume" : "50" }, "uris" : [ "http://www.mendeley.com/documents/?uuid=3ca4d02e-6764-3968-bc19-b058a4d1e91e" ] } ], "mendeley" : { "formattedCitation" : "(Goenka et al., 2014)", "plainTextFormattedCitation" : "(Goenka et al., 2014)", "previouslyFormattedCitation" : "(Goenka et al., 2014)" }, "properties" : {  }, "schema" : "https://github.com/citation-style-language/schema/raw/master/csl-citation.json" }</w:instrText>
      </w:r>
      <w:r>
        <w:fldChar w:fldCharType="separate"/>
      </w:r>
      <w:bookmarkStart w:id="90" w:name="__Fieldmark__845_513475976"/>
      <w:r>
        <w:rPr>
          <w:rFonts w:ascii="Calibri" w:hAnsi="Calibri" w:asciiTheme="majorHAnsi" w:hAnsiTheme="majorHAnsi"/>
          <w:lang w:val="en-GB"/>
        </w:rPr>
        <w:t>(</w:t>
      </w:r>
      <w:bookmarkStart w:id="91" w:name="__Fieldmark__3057_903549581"/>
      <w:r>
        <w:rPr>
          <w:rFonts w:ascii="Calibri" w:hAnsi="Calibri" w:asciiTheme="majorHAnsi" w:hAnsiTheme="majorHAnsi"/>
          <w:lang w:val="en-GB"/>
        </w:rPr>
        <w:t>Goenka et al., 2014)</w:t>
      </w:r>
      <w:r>
        <w:rPr>
          <w:rFonts w:ascii="Calibri" w:hAnsi="Calibri" w:asciiTheme="majorHAnsi" w:hAnsiTheme="majorHAnsi"/>
          <w:lang w:val="en-GB"/>
        </w:rPr>
      </w:r>
      <w:r>
        <w:fldChar w:fldCharType="end"/>
      </w:r>
      <w:bookmarkEnd w:id="90"/>
      <w:bookmarkEnd w:id="91"/>
      <w:r>
        <w:rPr>
          <w:rFonts w:ascii="Calibri" w:hAnsi="Calibri" w:asciiTheme="majorHAnsi" w:hAnsiTheme="majorHAnsi"/>
          <w:lang w:val="en-GB"/>
        </w:rPr>
        <w:t xml:space="preserve">. Empirically, infectious diseases have been seen associated with poverty in endemic regions </w:t>
      </w:r>
      <w:r>
        <w:fldChar w:fldCharType="begin"/>
      </w:r>
      <w:r>
        <w:instrText>ADDIN CSL_CITATION { "citationItems" : [ { "id" : "ITEM-1",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"ITEM-1", "issue" : "1-2 Suppl", "issued" : { "date-parts" : [ [ "2001" ] ] }, "page" : "85-96", "title" : "The economic burden of malaria.", "type" : "article-journal", "volume" : "64" }, "uris" : [ "http://www.mendeley.com/documents/?uuid=ec0fc69c-a2e9-4d89-adbc-2b85d5cfefbb" ] }, { "id" : "ITEM-2", "itemData" : { "DOI" : "10.2307/40652163", "ISBN" : "1036-4005 (Print) 1036-4005", "ISSN" : "1036-4005", "PMID" : "10159889", "abstract" : "Concern has been expressed about the fertility of people infected with HIV: the worry has been that on learning of their condition, HIV-affected individuals may attempt to accomplish unmet reproductive goals knowing that they will not live a normal life span. This article addresses the potential effects of AIDS on fertility and reproductive decisions in East and Central Africa. The problem is seen in terms of a tightly knit continuum of biological, epidemiologic and cultural contexts, and the prevailing conditions of response to the epidemic. AIDS can influence fertility among individuals and groups regardless of any awareness of serostatus by increasing death rates among reproductive populations, and damaging the physical capacities of infected men and women to reproduce. In much of the region, high prevalence of STDs may simultaneously impair the fertility of men and women and increase their risk of contracting HIV. These biological conditions are compounded among those for whom fertility is a highly valued marker of adult status, where the social and economic marginality of young women contributes to reliance on commercialized sex, where the mobility of young men leads to instability in sexual partnerships and frequent partner change, or where women lack the ability to negotiate their fertility with spouses. It appears that even focused programs of testing and counselling with HIV-positive women in Europe and in Africa have not motivated a significant change in reproductive action. Were there a demonstrable effect of counselling on the fertility choices of infected persons, there are numerous practical limitations on the role that interventions can play in affecting the fertility of HIV-positive people.", "author" : [ { "dropping-particle" : "", "family" : "Mveyange", "given" : "Anthony", "non-dropping-particle" : "", "parse-names" : false, "suffix" : "" }, { "dropping-particle" : "", "family" : "Skovsgaard", "given" : "Christian", "non-dropping-particle" : "", "parse-names" : false, "suffix" : "" }, { "dropping-particle" : "", "family" : "Lesner", "given" : "Tine", "non-dropping-particle" : "", "parse-names" : false, "suffix" : "" } ], "container-title" : "UNU-WIDER Working Paper 2015/086", "id" : "ITEM-2", "issued" : { "date-parts" : [ [ "2015" ] ] }, "publisher-place" : "Working Paper 2015/086. UNU-WIDER", "title" : "Does HIV/AIDS matter for economic growth in sub-Saharan Africa?", "type" : "report" }, "uris" : [ "http://www.mendeley.com/documents/?uuid=4058bcb6-66e3-4442-b6d5-3884917ca2f0" ] }, { "id" : "ITEM-3",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"ITEM-3", "issue" : "6872", "issued" : { "date-parts" : [ [ "2002", "2", "7" ] ] }, "page" : "680-5", "title" : "The economic and social burden of malaria.", "type" : "article-journal", "volume" : "415" }, "uris" : [ "http://www.mendeley.com/documents/?uuid=539f1897-6e2f-45c4-95cb-984ec05fd144" ] } ], "mendeley" : { "formattedCitation" : "(Gallup and Sachs, 2001; Mveyange et al., 2015; Sachs and Malaney, 2002)", "plainTextFormattedCitation" : "(Gallup and Sachs, 2001; Mveyange et al., 2015; Sachs and Malaney, 2002)", "previouslyFormattedCitation" : "(Gallup and Sachs, 2001; Mveyange et al., 2015; Sachs and Malaney, 2002)" }, "properties" : {  }, "schema" : "https://github.com/citation-style-language/schema/raw/master/csl-citation.json" }</w:instrText>
      </w:r>
      <w:r>
        <w:fldChar w:fldCharType="separate"/>
      </w:r>
      <w:bookmarkStart w:id="92" w:name="__Fieldmark__852_513475976"/>
      <w:r>
        <w:rPr>
          <w:rFonts w:ascii="Calibri" w:hAnsi="Calibri" w:asciiTheme="majorHAnsi" w:hAnsiTheme="majorHAnsi"/>
          <w:lang w:val="en-GB"/>
        </w:rPr>
        <w:t>(</w:t>
      </w:r>
      <w:bookmarkStart w:id="93" w:name="__Fieldmark__3074_903549581"/>
      <w:r>
        <w:rPr>
          <w:rFonts w:ascii="Calibri" w:hAnsi="Calibri" w:asciiTheme="majorHAnsi" w:hAnsiTheme="majorHAnsi"/>
          <w:lang w:val="en-GB"/>
        </w:rPr>
        <w:t>Gallup and Sachs, 2001; Mveyange et al., 2015; Sachs and Malaney, 2002)</w:t>
      </w:r>
      <w:r>
        <w:rPr>
          <w:rFonts w:ascii="Calibri" w:hAnsi="Calibri" w:asciiTheme="majorHAnsi" w:hAnsiTheme="majorHAnsi"/>
          <w:lang w:val="en-GB"/>
        </w:rPr>
      </w:r>
      <w:r>
        <w:fldChar w:fldCharType="end"/>
      </w:r>
      <w:bookmarkEnd w:id="92"/>
      <w:bookmarkEnd w:id="93"/>
      <w:r>
        <w:rPr>
          <w:rFonts w:ascii="Calibri" w:hAnsi="Calibri" w:asciiTheme="majorHAnsi" w:hAnsiTheme="majorHAnsi"/>
          <w:lang w:val="en-GB"/>
        </w:rPr>
        <w:t xml:space="preserve">, despite the difficulties in constructing good health indicators and in identifying this relationship in causal terms </w:t>
      </w:r>
      <w:r>
        <w:fldChar w:fldCharType="begin"/>
      </w:r>
      <w:r>
        <w:instrText>ADDIN CSL_CITATION { "citationItems" : [ { "id" : "ITEM-1", "itemData" : { "DOI" : "10.1086/529000", "ISSN" : "0022-3808", "author" : [ { "dropping-particle" : "", "family" : "Acemoglu", "given" : "Daron", "non-dropping-particle" : "", "parse-names" : false, "suffix" : "" }, { "dropping-particle" : "", "family" : "Johnson", "given" : "Simon", "non-dropping-particle" : "", "parse-names" : false, "suffix" : "" } ], "container-title" : "Journal of Political Economy", "id" : "ITEM-1", "issue" : "6", "issued" : { "date-parts" : [ [ "2007", "12" ] ] }, "page" : "925-985", "title" : "Disease and Development: The Effect of Life Expectancy on Economic Growth", "type" : "article-journal", "volume" : "115" }, "uris" : [ "http://www.mendeley.com/documents/?uuid=7cbefaa0-4448-4918-b4a6-5534f155a024" ] }, { "id" : "ITEM-2", "itemData" : { "author" : [ { "dropping-particle" : "", "family" : "Audibert", "given" : "Martine", "non-dropping-particle" : "", "parse-names" : false, "suffix" : "" }, { "dropping-particle" : "", "family" : "Motel", "given" : "Pascale Combes", "non-dropping-particle" : "", "parse-names" : false, "suffix" : "" }, { "dropping-particle" : "", "family" : "Drabo", "given" : "Alassane", "non-dropping-particle" : "", "parse-names" : false, "suffix" : "" } ], "collection-title" : "SERIE ETUDES ET DOCUMENTS DU CERDI Health", "id" : "ITEM-2", "issued" : { "date-parts" : [ [ "2013" ] ] }, "number" : "E 2013.10", "number-of-pages" : "1-20", "publisher-place" : "CERDI Working Paper E 2013.10. Clermont Ferrand, France", "title" : "Health capital depreciation effects on development: theory and measurement", "type" : "report" }, "uris" : [ "http://www.mendeley.com/documents/?uuid=aaa754d7-1284-416c-8720-ffffe5257275" ] } ], "mendeley" : { "formattedCitation" : "(Acemoglu and Johnson, 2007; Audibert et al., 2013)", "plainTextFormattedCitation" : "(Acemoglu and Johnson, 2007; Audibert et al., 2013)", "previouslyFormattedCitation" : "(Acemoglu and Johnson, 2007; Audibert et al., 2013)" }, "properties" : {  }, "schema" : "https://github.com/citation-style-language/schema/raw/master/csl-citation.json" }</w:instrText>
      </w:r>
      <w:r>
        <w:fldChar w:fldCharType="separate"/>
      </w:r>
      <w:bookmarkStart w:id="94" w:name="__Fieldmark__859_513475976"/>
      <w:r>
        <w:rPr>
          <w:rFonts w:ascii="Calibri" w:hAnsi="Calibri" w:asciiTheme="majorHAnsi" w:hAnsiTheme="majorHAnsi"/>
          <w:lang w:val="en-GB"/>
        </w:rPr>
        <w:t>(</w:t>
      </w:r>
      <w:bookmarkStart w:id="95" w:name="__Fieldmark__3093_903549581"/>
      <w:r>
        <w:rPr>
          <w:rFonts w:ascii="Calibri" w:hAnsi="Calibri" w:asciiTheme="majorHAnsi" w:hAnsiTheme="majorHAnsi"/>
          <w:lang w:val="en-GB"/>
        </w:rPr>
        <w:t>Acemoglu and Johnson, 2007; Audibert et al., 2013)</w:t>
      </w:r>
      <w:r>
        <w:rPr>
          <w:rFonts w:ascii="Calibri" w:hAnsi="Calibri" w:asciiTheme="majorHAnsi" w:hAnsiTheme="majorHAnsi"/>
          <w:lang w:val="en-GB"/>
        </w:rPr>
      </w:r>
      <w:r>
        <w:fldChar w:fldCharType="end"/>
      </w:r>
      <w:bookmarkEnd w:id="94"/>
      <w:bookmarkEnd w:id="95"/>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One of the new SDGs is to achieve universal health coverage </w:t>
      </w:r>
      <w:r>
        <w:fldChar w:fldCharType="begin"/>
      </w:r>
      <w:r>
        <w:instrText>ADDIN CSL_CITATION { "citationItems" : [ { "id" : "ITEM-1", "itemData" : { "DOI" : "10.1016/S2214-109X(17)30263-2", "ISBN" : "2214-109X (Electronic) 2214-109X (Linking)", "ISSN" : "2214109X", "PMID" : "28728918", "abstract" : "Background The ambitious development agenda of the Sustainable Development Goals (SDGs) requires substantial investments across several sectors, including for SDG 3 (healthy lives and wellbeing). No estimates of the additional resources needed to strengthen comprehensive health service delivery towards the attainment of SDG 3 and universal health coverage in low-income and middle-income countries have been published. Methods We developed a framework for health systems strengthening, within which population-level and individual-level health service coverage is gradually scaled up over time. We developed projections for 67 low-income and middle-income countries from 2016 to 2030, representing 95% of the total population in low-income and middle-income countries. We considered four service delivery platforms, and modelled two scenarios with differing levels of ambition: a progress scenario, in which countries' advancement towards global targets is constrained by their health system's assumed absorptive capacity, and an ambitious scenario, in which most countries attain the global targets. We estimated the associated costs and health effects, including reduced prevalence of illness, lives saved, and increases in life expectancy. We projected available funding by country and year, taking into account economic growth and anticipated allocation towards the health sector, to allow for an analysis of affordability and financial sustainability. Findings We estimate that an additional $274 billion spending on health is needed per year by 2030 to make progress towards the SDG 3 targets (progress scenario), whereas US$371 billion would be needed to reach health system targets in the ambitious scenario\u2014the equivalent of an additional $41 (range 15\u2013102) or $58 (22\u2013167) per person, respectively, by the final years of scale-up. In the ambitious scenario, total health-care spending would increase to a population-weighted mean of $271 per person (range 74\u2013984) across country contexts, and the share of gross domestic product spent on health would increase to a mean of 7\u00b75% (2\u00b71\u201320\u00b75). Around 75% of costs are for health systems, with health workforce and infrastructure (including medical equipment) as the main cost drivers. Despite projected increases in health spending, a financing gap of $20\u201354 billion per year is projected. Should funds be made available and used as planned, the ambitious scenario would save 97 million lives and significantly increase life expectancy by \u2026", "author" : [ { "dropping-particle" : "", "family" : "Stenberg", "given" : "Karin", "non-dropping-particle" : "", "parse-names" : false, "suffix" : "" }, { "dropping-particle" : "", "family" : "Hanssen", "given" : "Odd", "non-dropping-particle" : "", "parse-names" : false, "suffix" : "" }, { "dropping-particle" : "", "family" : "Edejer", "given" : "Tessa Tan Torres", "non-dropping-particle" : "", "parse-names" : false, "suffix" : "" }, { "dropping-particle" : "", "family" : "Bertram", "given" : "Melanie", "non-dropping-particle" : "", "parse-names" : false, "suffix" : "" }, { "dropping-particle" : "", "family" : "Brindley", "given" : "Callum", "non-dropping-particle" : "", "parse-names" : false, "suffix" : "" }, { "dropping-particle" : "", "family" : "Meshreky", "given" : "Andreia", "non-dropping-particle" : "", "parse-names" : false, "suffix" : "" }, { "dropping-particle" : "", "family" : "Rosen", "given" : "James E.", "non-dropping-particle" : "", "parse-names" : false, "suffix" : "" }, { "dropping-particle" : "", "family" : "Stover", "given" : "John", "non-dropping-particle" : "", "parse-names" : false, "suffix" : "" }, { "dropping-particle" : "", "family" : "Verboom", "given" : "Paul", "non-dropping-particle" : "", "parse-names" : false, "suffix" : "" }, { "dropping-particle" : "", "family" : "Sanders", "given" : "Rachel", "non-dropping-particle" : "", "parse-names" : false, "suffix" : "" }, { "dropping-particle" : "", "family" : "Soucat", "given" : "Agn\u00e8s", "non-dropping-particle" : "", "parse-names" : false, "suffix" : "" } ], "container-title" : "The Lancet Global Health", "id" : "ITEM-1", "issue" : "9", "issued" : { "date-parts" : [ [ "2017" ] ] }, "page" : "e875-e887", "title" : "Financing transformative health systems towards achievement of the health Sustainable Development Goals: a model for projected resource needs in 67 low-income and middle-income countries", "type" : "article-journal", "volume" : "5" }, "uris" : [ "http://www.mendeley.com/documents/?uuid=a75ba3e1-a8e4-48b4-ba3f-bb76774cd6f4" ] }, { "id" : "ITEM-2", "itemData" : { "DOI" : "10.1007/s13398-014-0173-7.2", "ISBN" : "9780874216561", "ISSN" : "0717-6163", "PMID" : "15003161", "abstract" : "Resolution adopted by General assembly on 25 september 2015", "author" : [ { "dropping-particle" : "", "family" : "United Nations", "given" : "", "non-dropping-particle" : "", "parse-names" : false, "suffix" : "" } ], "container-title" : "General Assembley 70 session", "id" : "ITEM-2", "issue" : "October", "issued" : { "date-parts" : [ [ "2015" ] ] }, "page" : "1-35", "title" : "Transforming our world: the 2030 Agenda for Sustainable Development", "type" : "article-journal", "volume" : "16301" }, "uris" : [ "http://www.mendeley.com/documents/?uuid=96b8c32d-8c48-459e-8f6e-e6d42ab573dc" ] } ], "mendeley" : { "formattedCitation" : "(Stenberg et al., 2017; United Nations, 2015)", "plainTextFormattedCitation" : "(Stenberg et al., 2017; United Nations, 2015)", "previouslyFormattedCitation" : "(Stenberg et al., 2017; United Nations, 2015)" }, "properties" : {  }, "schema" : "https://github.com/citation-style-language/schema/raw/master/csl-citation.json" }</w:instrText>
      </w:r>
      <w:r>
        <w:fldChar w:fldCharType="separate"/>
      </w:r>
      <w:bookmarkStart w:id="96" w:name="__Fieldmark__868_513475976"/>
      <w:r>
        <w:rPr>
          <w:rFonts w:ascii="Calibri" w:hAnsi="Calibri" w:asciiTheme="majorHAnsi" w:hAnsiTheme="majorHAnsi"/>
          <w:lang w:val="en-GB"/>
        </w:rPr>
        <w:t>(</w:t>
      </w:r>
      <w:bookmarkStart w:id="97" w:name="__Fieldmark__3103_903549581"/>
      <w:r>
        <w:rPr>
          <w:rFonts w:ascii="Calibri" w:hAnsi="Calibri" w:asciiTheme="majorHAnsi" w:hAnsiTheme="majorHAnsi"/>
          <w:lang w:val="en-GB"/>
        </w:rPr>
        <w:t>Stenberg et al., 2017; United Nations, 2015)</w:t>
      </w:r>
      <w:r>
        <w:rPr>
          <w:rFonts w:ascii="Calibri" w:hAnsi="Calibri" w:asciiTheme="majorHAnsi" w:hAnsiTheme="majorHAnsi"/>
          <w:lang w:val="en-GB"/>
        </w:rPr>
      </w:r>
      <w:r>
        <w:fldChar w:fldCharType="end"/>
      </w:r>
      <w:bookmarkEnd w:id="96"/>
      <w:bookmarkEnd w:id="97"/>
      <w:r>
        <w:rPr>
          <w:rFonts w:ascii="Calibri" w:hAnsi="Calibri" w:asciiTheme="majorHAnsi" w:hAnsiTheme="majorHAnsi"/>
          <w:lang w:val="en-GB"/>
        </w:rPr>
        <w:t xml:space="preserve">. However, this goal is currently far from being accomplished. Challenges to achieve universal health coverage in LMICs are, in summary, twofold. On </w:t>
      </w:r>
      <w:ins w:id="136" w:author="Unknown Author" w:date="2018-04-12T11:00:00Z">
        <w:r>
          <w:rPr>
            <w:rFonts w:ascii="Calibri" w:hAnsi="Calibri" w:asciiTheme="majorHAnsi" w:hAnsiTheme="majorHAnsi"/>
            <w:lang w:val="en-GB"/>
          </w:rPr>
          <w:t xml:space="preserve">the </w:t>
        </w:r>
      </w:ins>
      <w:r>
        <w:rPr>
          <w:rFonts w:ascii="Calibri" w:hAnsi="Calibri" w:asciiTheme="majorHAnsi" w:hAnsiTheme="majorHAnsi"/>
          <w:lang w:val="en-GB"/>
        </w:rPr>
        <w:t xml:space="preserve">one hand, building up or reforming a health system is complex, resource-constrained and the leadership of the process is challenging due to the sometimes diverging interests of politicians and communities </w:t>
      </w:r>
      <w:r>
        <w:fldChar w:fldCharType="begin"/>
      </w:r>
      <w:r>
        <w:instrText>ADDIN CSL_CITATION { "citationItems" : [ { "id" : "ITEM-1", "itemData" : { "DOI" : "10.1093/oxrep/grw002", "ISBN" : "0266903X", "ISSN" : "0266-903X", "abstract" : "The international community, through the Millennium Development Goals\\nand now the Sustainable Development Goals, has long recognized the\\ncritical role of improved global health in achieving social and economic\\ndevelopment. This edition of the Oxford Review of Economic Policy\\nexplores whether this importance has been mirrored in the field of\\neconomics. It does so by bringing together the voices of 28 economists\\nworking on widely varying aspects of global health economics to confront\\nthree key policy questions: how do we build better, more equitable\\nhealth systems? how are `global commons' health problems to be overcome?\\nand how might we improve evaluation and priority setting in global\\nhealth? This assessment considers the degree to which these questions\\nhave been answered, and extracts the key thrusts of a research agenda.\\nIt suggests that, as in global health itself, while much has been\\nachieved, many challenges and potential achievements await in the field\\nof global health economics.", "author" : [ { "dropping-particle" : "", "family" : "Farlow", "given" : "Andrew W. K.", "non-dropping-particle" : "", "parse-names" : false, "suffix" : "" } ], "container-title" : "Oxford Review of Economic Policy", "id" : "ITEM-1", "issue" : "1", "issued" : { "date-parts" : [ [ "2016" ] ] }, "page" : "1-20", "title" : "The economics of global health: an assessment", "type" : "article-journal", "volume" : "32" }, "uris" : [ "http://www.mendeley.com/documents/?uuid=ab73f0c9-eb20-4ec4-82e4-6680817a636a" ] }, { "id" : "ITEM-2", "itemData" : { "DOI" : "10.1093/oxrep/grv018", "ISBN" : "0013-063X.", "ISSN" : "14602121", "abstract" : "There has been much rhetoric in global health about the need to consider the health sector as a \u2018system\u2019, defined by the World Health Organization as all the activities whose primary purpose is to improve health. The need to adopt a system-wide perspective arises from the complexity of the pro- cesses for delivering effective health services, and the important interdependencies between elements of the health system. However, there have hitherto been very few contributions from an economic perspective that explicitly address these issues. This paper argues that an economic paradigm of con- strained optimization adapted to the systemic nature of the health sector could provide an analytical and practical approach to policy-makers in assessing their health systems and deriving solutions. The paper therefore discusses the objectives of the health system, the factors that constrain optimization, and the decision variables, in the form of policy levers. Economic approaches that could contribute to the associated research agenda include institutional economics, micro-simulation, and option pricing theory. The important feature of such methods is that they offer the possibility of developing tractable methods for addressing the complexity and interconnectedness of the health system. Keywords:", "author" : [ { "dropping-particle" : "", "family" : "Smith", "given" : "Peter C.", "non-dropping-particle" : "", "parse-names" : false, "suffix" : "" }, { "dropping-particle" : "", "family" : "Yip", "given" : "Winnie", "non-dropping-particle" : "", "parse-names" : false, "suffix" : "" } ], "container-title" : "Oxford Review of Economic Policy", "id" : "ITEM-2", "issue" : "1", "issued" : { "date-parts" : [ [ "2016" ] ] }, "page" : "21-40", "title" : "The economics of health system design", "type" : "article-journal", "volume" : "32" }, "uris" : [ "http://www.mendeley.com/documents/?uuid=467f205b-3aae-4720-b6d0-f94c7d96591c" ] } ], "mendeley" : { "formattedCitation" : "(Farlow, 2016; Smith and Yip, 2016)", "plainTextFormattedCitation" : "(Farlow, 2016; Smith and Yip, 2016)", "previouslyFormattedCitation" : "(Farlow, 2016; Smith and Yip, 2016)" }, "properties" : {  }, "schema" : "https://github.com/citation-style-language/schema/raw/master/csl-citation.json" }</w:instrText>
      </w:r>
      <w:r>
        <w:fldChar w:fldCharType="separate"/>
      </w:r>
      <w:bookmarkStart w:id="98" w:name="__Fieldmark__875_513475976"/>
      <w:r>
        <w:rPr>
          <w:rFonts w:ascii="Calibri" w:hAnsi="Calibri" w:asciiTheme="majorHAnsi" w:hAnsiTheme="majorHAnsi"/>
          <w:lang w:val="en-GB"/>
        </w:rPr>
        <w:t>(</w:t>
      </w:r>
      <w:bookmarkStart w:id="99" w:name="__Fieldmark__3128_903549581"/>
      <w:r>
        <w:rPr>
          <w:rFonts w:ascii="Calibri" w:hAnsi="Calibri" w:asciiTheme="majorHAnsi" w:hAnsiTheme="majorHAnsi"/>
          <w:lang w:val="en-GB"/>
        </w:rPr>
        <w:t>Farlow, 2016; Smith and Yip, 2016)</w:t>
      </w:r>
      <w:r>
        <w:rPr>
          <w:rFonts w:ascii="Calibri" w:hAnsi="Calibri" w:asciiTheme="majorHAnsi" w:hAnsiTheme="majorHAnsi"/>
          <w:lang w:val="en-GB"/>
        </w:rPr>
      </w:r>
      <w:r>
        <w:fldChar w:fldCharType="end"/>
      </w:r>
      <w:bookmarkEnd w:id="98"/>
      <w:bookmarkEnd w:id="99"/>
      <w:r>
        <w:rPr>
          <w:rFonts w:ascii="Calibri" w:hAnsi="Calibri" w:asciiTheme="majorHAnsi" w:hAnsiTheme="majorHAnsi"/>
          <w:lang w:val="en-GB"/>
        </w:rPr>
        <w:t xml:space="preserve">. Through macro-level analysis, economic evaluation can help understanding and strengthening the health systems of LMICs in terms of the national and international resources needed to improve primary care, control programmes of infectious diseases and the quality of clinical care </w:t>
      </w:r>
      <w:r>
        <w:fldChar w:fldCharType="begin"/>
      </w:r>
      <w:r>
        <w:instrText>ADDIN CSL_CITATION { "citationItems" : [ { "id" : "ITEM-1", "itemData" : { "DOI" : "10.2471/BLT.10.077891", "ISSN" : "1564-0604", "PMID" : "21124720", "abstract" : "Sub-Saharan Africa is undergoing health transition as increased globalization and accompanying urbanization are causing a double burden of communicable and noncommunicable diseases. Rates of communicable diseases such as HIV/AIDS, tuberculosis and malaria in Africa are the highest in the world. The impact of noncommunicable diseases is also increasing. For example, age-standardized mortality from cardiovascular disease may be up to three times higher in some African than in some European countries. As the entry point into the health service for most people, primary care plays a key role in delivering communicable disease prevention and care interventions. This role could be extended to focus on noncommunicable diseases as well, within the context of efforts to strengthen health systems by improving primary-care delivery. We put forward practical policy proposals to improve the primary-care response to the problems posed by health transition: (i) improving data on communicable and noncommunicable diseases; (ii) implementing a structured approach to the improved delivery of primary care; (iii) putting the spotlight on quality of clinical care; (iv) aligning the response to health transition with health system strengthening; and (v) capitalizing on a favourable global policy environment. Although these proposals are aimed at primary care in sub-Saharan Africa, they may well be relevant to other regions also facing the challenges of health transition. Implementing these proposals requires action by national and international alliances in mobilizing the necessary investments for improved health of people in developing countries in Africa undergoing health transition.", "author" : [ { "dropping-particle" : "", "family" : "Maher", "given" : "D", "non-dropping-particle" : "", "parse-names" : false, "suffix" : "" }, { "dropping-particle" : "", "family" : "Smeeth", "given" : "L", "non-dropping-particle" : "", "parse-names" : false, "suffix" : "" }, { "dropping-particle" : "", "family" : "Sekajugo", "given" : "J", "non-dropping-particle" : "", "parse-names" : false, "suffix" : "" } ], "container-title" : "Bulletin of the World Health Organization", "id" : "ITEM-1", "issue" : "12", "issued" : { "date-parts" : [ [ "2010", "12", "1" ] ] }, "page" : "943-8", "title" : "Health transition in Africa: practical policy proposals for primary care.", "type" : "article-journal", "volume" : "88" }, "uris" : [ "http://www.mendeley.com/documents/?uuid=cdaded29-4584-3e5d-9c0c-794f30b833eb" ] }, { "id" : "ITEM-2",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"ITEM-2",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"(Maher et al., 2010; Morton et al., 2016)", "plainTextFormattedCitation" : "(Maher et al., 2010; Morton et al., 2016)", "previouslyFormattedCitation" : "(Maher et al., 2010; Morton et al., 2016)" }, "properties" : {  }, "schema" : "https://github.com/citation-style-language/schema/raw/master/csl-citation.json" }</w:instrText>
      </w:r>
      <w:r>
        <w:fldChar w:fldCharType="separate"/>
      </w:r>
      <w:bookmarkStart w:id="100" w:name="__Fieldmark__882_513475976"/>
      <w:r>
        <w:rPr>
          <w:rFonts w:ascii="Calibri" w:hAnsi="Calibri" w:asciiTheme="majorHAnsi" w:hAnsiTheme="majorHAnsi"/>
          <w:lang w:val="en-GB"/>
        </w:rPr>
        <w:t>(</w:t>
      </w:r>
      <w:bookmarkStart w:id="101" w:name="__Fieldmark__3141_903549581"/>
      <w:r>
        <w:rPr>
          <w:rFonts w:ascii="Calibri" w:hAnsi="Calibri" w:asciiTheme="majorHAnsi" w:hAnsiTheme="majorHAnsi"/>
          <w:lang w:val="en-GB"/>
        </w:rPr>
        <w:t>Maher et al., 2010; Morton et al., 2016)</w:t>
      </w:r>
      <w:r>
        <w:rPr>
          <w:rFonts w:ascii="Calibri" w:hAnsi="Calibri" w:asciiTheme="majorHAnsi" w:hAnsiTheme="majorHAnsi"/>
          <w:lang w:val="en-GB"/>
        </w:rPr>
      </w:r>
      <w:r>
        <w:fldChar w:fldCharType="end"/>
      </w:r>
      <w:bookmarkEnd w:id="100"/>
      <w:bookmarkEnd w:id="101"/>
      <w:r>
        <w:rPr>
          <w:rFonts w:ascii="Calibri" w:hAnsi="Calibri" w:asciiTheme="majorHAnsi" w:hAnsiTheme="majorHAnsi"/>
          <w:lang w:val="en-GB"/>
        </w:rPr>
        <w:t xml:space="preserve">. On the other hand, health systems are regularly underfunded in LMICs. Hence, HICs, LMICs and international organisations should be economically, politically and legally coordinated to reach the necessary funds to achieving universal health coverage </w:t>
      </w:r>
      <w:r>
        <w:fldChar w:fldCharType="begin"/>
      </w:r>
      <w:r>
        <w:instrText>ADDIN CSL_CITATION { "citationItems" : [ { "id" : "ITEM-1", "itemData" : { "DOI" : "10.1017/S1744133116000372", "ISSN" : "1744-1331", "PMID" : "28332454", "author" : [ { "dropping-particle" : "", "family" : "Ottersen", "given" : "Trygve", "non-dropping-particle" : "", "parse-names" : false, "suffix" : "" }, { "dropping-particle" : "", "family" : "Evans", "given" : "David B.", "non-dropping-particle" : "", "parse-names" : false, "suffix" : "" }, { "dropping-particle" : "", "family" : "Mossialos", "given" : "Elias", "non-dropping-particle" : "", "parse-names" : false, "suffix" : "" }, { "dropping-particle" : "", "family" : "R\u00f8ttingen", "given" : "John-Arne", "non-dropping-particle" : "", "parse-names" : false, "suffix" : "" } ], "container-title" : "Health Economics, Policy and Law", "id" : "ITEM-1", "issue" : "02", "issued" : { "date-parts" : [ [ "2017" ] ] }, "page" : "105-111", "title" : "Global health financing towards 2030 and beyond", "type" : "article-journal", "volume" : "12" }, "uris" : [ "http://www.mendeley.com/documents/?uuid=92826724-82ef-45ba-965e-b105bf0c69f5" ] }, { "id" : "ITEM-2", "itemData" : { "ISBN" : "9781784130213", "abstract" : "T: +44 (0) 20 7957 5700 F: + 44 (0) 20 7957 5710 www.chathamhouse.org A catalogue record for this title is available from the British Library. Cover image \u00a9 EdStock/iStock Typeset by Soapbox, www.soapbox.co.uk Printed by Colourview Chatham House has been the home of the Royal Institute of International Affairs for more than ninety years. Our mission is to be a world-leading source of independent analysis, informed debate and influential ideas on how to build a prosperous and secure world for all. Contents Chatham House | iii About the Authors iv Acknowledgments vii", "author" : [ { "dropping-particle" : "", "family" : "Chatham House", "given" : "", "non-dropping-particle" : "", "parse-names" : false, "suffix" : "" } ], "container-title" : "The Royal Institute of International Affairs", "id" : "ITEM-2", "issued" : { "date-parts" : [ [ "2014" ] ] }, "page" : "1-57", "title" : "Shared Responsibilities for Health A Coherent Global Framework for Health Financing Final Report of the Centre on Global Health Security Working Group on Health Financing", "type" : "article-journal" }, "uris" : [ "http://www.mendeley.com/documents/?uuid=fa11d07f-649d-4138-ab09-d4d909d9455d" ] } ], "mendeley" : { "formattedCitation" : "(Ottersen et al., 2017; Chatham House, 2014)", "plainTextFormattedCitation" : "(Ottersen et al., 2017; Chatham House, 2014)", "previouslyFormattedCitation" : "(Ottersen et al., 2017; Chatham House, 2014)" }, "properties" : {  }, "schema" : "https://github.com/citation-style-language/schema/raw/master/csl-citation.json" }</w:instrText>
      </w:r>
      <w:r>
        <w:fldChar w:fldCharType="separate"/>
      </w:r>
      <w:bookmarkStart w:id="102" w:name="__Fieldmark__889_513475976"/>
      <w:r>
        <w:rPr>
          <w:rFonts w:ascii="Calibri" w:hAnsi="Calibri" w:asciiTheme="majorHAnsi" w:hAnsiTheme="majorHAnsi"/>
          <w:lang w:val="en-GB"/>
        </w:rPr>
        <w:t>(</w:t>
      </w:r>
      <w:bookmarkStart w:id="103" w:name="__Fieldmark__3168_903549581"/>
      <w:r>
        <w:rPr>
          <w:rFonts w:ascii="Calibri" w:hAnsi="Calibri" w:asciiTheme="majorHAnsi" w:hAnsiTheme="majorHAnsi"/>
          <w:lang w:val="en-GB"/>
        </w:rPr>
        <w:t>Ottersen et al., 2017; Chatham House, 2014)</w:t>
      </w:r>
      <w:r>
        <w:rPr>
          <w:rFonts w:ascii="Calibri" w:hAnsi="Calibri" w:asciiTheme="majorHAnsi" w:hAnsiTheme="majorHAnsi"/>
          <w:lang w:val="en-GB"/>
        </w:rPr>
      </w:r>
      <w:r>
        <w:fldChar w:fldCharType="end"/>
      </w:r>
      <w:bookmarkEnd w:id="102"/>
      <w:bookmarkEnd w:id="103"/>
      <w:r>
        <w:rPr>
          <w:rFonts w:ascii="Calibri" w:hAnsi="Calibri" w:asciiTheme="majorHAnsi" w:hAnsiTheme="majorHAnsi"/>
          <w:lang w:val="en-GB"/>
        </w:rPr>
        <w:t xml:space="preserve">. To this end, economic analysis is needed to evaluate the allocation of funding </w:t>
      </w:r>
      <w:r>
        <w:fldChar w:fldCharType="begin"/>
      </w:r>
      <w:r>
        <w:instrText>ADDIN CSL_CITATION { "citationItems" : [ { "id" : "ITEM-1", "itemData" : { "DOI" : "10.1016/j.jhealeco.2016.06.001", "ISSN" : "18791646", "PMID" : "27394006", "abstract" : "A key dilemma in global health is how to allocate funds between disease-specific \u201cvertical projects\u201d on the one hand and \u201chorizontal programmes\u201d which aim to strengthen the entire health system on the other. While economic evaluation provides a way of approaching the prioritisation of vertical projects, it provides less guidance on how to prioritise between horizontal and vertical spending. We approach this problem by formulating a mathematical program which captures the complementary benefits of funding both vertical projects and horizontal programmes. We show that our solution to this math program has an appealing intuitive structure. We illustrate our model by computationally solving two specialised versions of this problem, with illustrations based on the problem of allocating funding for infectious diseases in sub-Saharan Africa. We conclude by reflecting on how such a model may be developed in the future and used to guide empirical data collection and theory development.", "author" : [ { "dropping-particle" : "", "family" : "Morton", "given" : "Alec", "non-dropping-particle" : "", "parse-names" : false, "suffix" : "" }, { "dropping-particle" : "", "family" : "Thomas", "given" : "Ranjeeta", "non-dropping-particle" : "", "parse-names" : false, "suffix" : "" }, { "dropping-particle" : "", "family" : "Smith", "given" : "Peter C.", "non-dropping-particle" : "", "parse-names" : false, "suffix" : "" } ], "container-title" : "Journal of Health Economics", "id" : "ITEM-1", "issued" : { "date-parts" : [ [ "2016" ] ] }, "page" : "97-108", "publisher" : "Elsevier B.V.", "title" : "Decision rules for allocation of finances to health systems strengthening", "type" : "article-journal", "volume" : "49" }, "uris" : [ "http://www.mendeley.com/documents/?uuid=b19ae171-0d28-4e1d-9144-c9f3cf858f94" ] } ], "mendeley" : { "formattedCitation" : "(Morton et al., 2016)", "plainTextFormattedCitation" : "(Morton et al., 2016)", "previouslyFormattedCitation" : "(Morton et al., 2016)" }, "properties" : {  }, "schema" : "https://github.com/citation-style-language/schema/raw/master/csl-citation.json" }</w:instrText>
      </w:r>
      <w:r>
        <w:fldChar w:fldCharType="separate"/>
      </w:r>
      <w:bookmarkStart w:id="104" w:name="__Fieldmark__896_513475976"/>
      <w:r>
        <w:rPr>
          <w:rFonts w:ascii="Calibri" w:hAnsi="Calibri" w:asciiTheme="majorHAnsi" w:hAnsiTheme="majorHAnsi"/>
          <w:lang w:val="en-GB"/>
        </w:rPr>
        <w:t>(</w:t>
      </w:r>
      <w:bookmarkStart w:id="105" w:name="__Fieldmark__3178_903549581"/>
      <w:r>
        <w:rPr>
          <w:rFonts w:ascii="Calibri" w:hAnsi="Calibri" w:asciiTheme="majorHAnsi" w:hAnsiTheme="majorHAnsi"/>
          <w:lang w:val="en-GB"/>
        </w:rPr>
        <w:t>Morton et al., 2016)</w:t>
      </w:r>
      <w:r>
        <w:rPr>
          <w:rFonts w:ascii="Calibri" w:hAnsi="Calibri" w:asciiTheme="majorHAnsi" w:hAnsiTheme="majorHAnsi"/>
          <w:lang w:val="en-GB"/>
        </w:rPr>
      </w:r>
      <w:r>
        <w:fldChar w:fldCharType="end"/>
      </w:r>
      <w:bookmarkEnd w:id="104"/>
      <w:bookmarkEnd w:id="105"/>
      <w:r>
        <w:rPr>
          <w:rFonts w:ascii="Calibri" w:hAnsi="Calibri" w:asciiTheme="majorHAnsi" w:hAnsiTheme="majorHAnsi"/>
          <w:lang w:val="en-GB"/>
        </w:rPr>
        <w:t xml:space="preserve">. Therefore, reliable information on health financing from governments and international organisations expenditure is needed to inform decision-makers </w:t>
      </w:r>
      <w:r>
        <w:fldChar w:fldCharType="begin"/>
      </w:r>
      <w:r>
        <w:instrText>ADDIN CSL_CITATION { "citationItems" : [ { "id" : "ITEM-1", "itemData" : { "DOI" : "10.1017/S1744133116000402", "ISSN" : "1744-1331", "abstract" : "Although knowledge about global health financing has expanded over the past two decades, major gaps remain. We know little, for example, about how much governments spend on major disease areas, how these amounts have evolved over time and how countries compare. A global health financing data revolution is sorely needed. The suite of papers that make up this special issue underline the importance of reliable information about financial resources for health. Data on health financing provide a foundation for assessing the provision of health care services, global public goods and resource mobilization for improving health. In a world of scarce resources, competing priorities, persistent inequality and increasingly complex health systems, allocating resources for health effectively is more difficult \u2013 and essential \u2013 than ever. Granular, comparable and comprehensive health data can inform health system decision-making. These data could be used to better understand health systems, identify gaps and inefficiencies, assess equity and provide estimates of resources needed to reach prospective health goals. The lack of comprehensive, comparable health financing information is a roadblock that prevents robust health policy-making. What health financing data are currently available?", "author" : [ { "dropping-particle" : "", "family" : "Dieleman", "given" : "Joseph L.", "non-dropping-particle" : "", "parse-names" : false, "suffix" : "" }, { "dropping-particle" : "", "family" : "Haakenstad", "given" : "Annie", "non-dropping-particle" : "", "parse-names" : false, "suffix" : "" } ], "container-title" : "Health Economics, Policy and Law", "id" : "ITEM-1", "issue" : "02", "issued" : { "date-parts" : [ [ "2017" ] ] }, "page" : "121-124", "title" : "Global health financing and the need for a data revolution", "type" : "article-journal", "volume" : "12" }, "uris" : [ "http://www.mendeley.com/documents/?uuid=b0ae1534-e52e-4b1d-a1ba-0885d7c520c7" ] } ], "mendeley" : { "formattedCitation" : "(Dieleman and Haakenstad, 2017)", "plainTextFormattedCitation" : "(Dieleman and Haakenstad, 2017)", "previouslyFormattedCitation" : "(Dieleman and Haakenstad, 2017)" }, "properties" : {  }, "schema" : "https://github.com/citation-style-language/schema/raw/master/csl-citation.json" }</w:instrText>
      </w:r>
      <w:r>
        <w:fldChar w:fldCharType="separate"/>
      </w:r>
      <w:bookmarkStart w:id="106" w:name="__Fieldmark__903_513475976"/>
      <w:r>
        <w:rPr>
          <w:rFonts w:ascii="Calibri" w:hAnsi="Calibri" w:asciiTheme="majorHAnsi" w:hAnsiTheme="majorHAnsi"/>
          <w:lang w:val="en-GB"/>
        </w:rPr>
        <w:t>(</w:t>
      </w:r>
      <w:bookmarkStart w:id="107" w:name="__Fieldmark__3186_903549581"/>
      <w:r>
        <w:rPr>
          <w:rFonts w:ascii="Calibri" w:hAnsi="Calibri" w:asciiTheme="majorHAnsi" w:hAnsiTheme="majorHAnsi"/>
          <w:lang w:val="en-GB"/>
        </w:rPr>
        <w:t>Dieleman and Haakenstad, 2017)</w:t>
      </w:r>
      <w:r>
        <w:rPr>
          <w:rFonts w:ascii="Calibri" w:hAnsi="Calibri" w:asciiTheme="majorHAnsi" w:hAnsiTheme="majorHAnsi"/>
          <w:lang w:val="en-GB"/>
        </w:rPr>
      </w:r>
      <w:r>
        <w:fldChar w:fldCharType="end"/>
      </w:r>
      <w:bookmarkEnd w:id="106"/>
      <w:bookmarkEnd w:id="10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From a micro-perspective, economic evaluation of new interventions is a valuable tool for helping policy makers </w:t>
      </w:r>
      <w:del w:id="137" w:author="Unknown Author" w:date="2018-04-12T11:01:00Z">
        <w:r>
          <w:rPr>
            <w:rFonts w:ascii="Calibri" w:hAnsi="Calibri" w:asciiTheme="majorHAnsi" w:hAnsiTheme="majorHAnsi"/>
            <w:lang w:val="en-GB"/>
          </w:rPr>
          <w:delText>choosing</w:delText>
        </w:r>
      </w:del>
      <w:ins w:id="138" w:author="Unknown Author" w:date="2018-04-12T11:01:00Z">
        <w:r>
          <w:rPr>
            <w:rFonts w:ascii="Calibri" w:hAnsi="Calibri" w:asciiTheme="majorHAnsi" w:hAnsiTheme="majorHAnsi"/>
            <w:lang w:val="en-GB"/>
          </w:rPr>
          <w:t>to choose</w:t>
        </w:r>
      </w:ins>
      <w:r>
        <w:rPr>
          <w:rFonts w:ascii="Calibri" w:hAnsi="Calibri" w:asciiTheme="majorHAnsi" w:hAnsiTheme="majorHAnsi"/>
          <w:lang w:val="en-GB"/>
        </w:rPr>
        <w:t xml:space="preserve"> among alternative interventions </w:t>
      </w:r>
      <w:r>
        <w:fldChar w:fldCharType="begin"/>
      </w:r>
      <w:r>
        <w:instrText>ADDIN CSL_CITATION { "citationItems" : [ { "id" : "ITEM-1", "itemData" : { "DOI" : "10.1016/j.socscimed.2011.01.008", "ISBN" : "1873-5347 (Electronic)\\r0277-9536 (Linking)", "ISSN" : "02779536", "PMID" : "21345563", "abstract" : "Health economic evaluation aims at providing information on the efficiency of interventions. Since the 1980s, there have been major developments in the field, especially in terms of methodologies. As the field has expanded and developed, methodologies have become increasingly sophisticated. In parallel, over the past decade, the conduct of economic evaluations has become more and more institutionalized with, among other things, the creation of the National Institute for Health and Clinical Excellence (NICE) in England and Wales and a growing number of health technology assessment (HTA) agencies around the world. Yet the literature has identified important barriers to the use of economic evaluation in decision-making, among them the difficulty of deciphering economic evaluation research. The way the field expanded has thus created a paradox: whereas economic evaluation is seen as an insightful tool for achieving efficiency in health care, its methodological developments have decreased decision-makers' capacity to use it. In this paper, based on a literature survey, we explore this shift by first analyzing how the field of economic evaluation has developed in recent years. Second, we discuss how economic evaluation information is perceived and used in decision-making. Third, we consider a possible direction for reconciling economic evaluation and decision-making. The originality of this article is that it not only highlights the increasing gap between the aim of economic evaluation and its effective use in decision-making but also proposes, based on existing methodologies, a competing approach to the currently dominant paradigm. \u00a9 2011 Elsevier Ltd.", "author" : [ { "dropping-particle" : "", "family" : "Brousselle", "given" : "Astrid", "non-dropping-particle" : "", "parse-names" : false, "suffix" : "" }, { "dropping-particle" : "", "family" : "Lessard", "given" : "Chantale", "non-dropping-particle" : "", "parse-names" : false, "suffix" : "" } ], "container-title" : "Social Science and Medicine", "id" : "ITEM-1", "issue" : "6", "issued" : { "date-parts" : [ [ "2011" ] ] }, "page" : "832-839", "publisher" : "Elsevier Ltd", "title" : "Economic evaluation to inform health care decision-making: Promise, pitfalls and a proposal for an alternative path", "type" : "article-journal", "volume" : "72" }, "uris" : [ "http://www.mendeley.com/documents/?uuid=221fb299-9c79-4827-8d63-2a3372d6ff6c" ] }, { "id" : "ITEM-2", "itemData" : { "DOI" : "10.1186/2191-1991-2-17", "ISBN" : "2191-1991 (Electronic)", "ISSN" : "2191-1991", "PMID" : "22943762", "abstract" : "It is acknowledged that economic evaluation methods as they have been developed for Health Technology Assessment do not capture all the costs and benefits relevant to the assessment of public health interventions. This paper reviews methods that could be employed to measure and value the broader set of benefits generated by public health interventions. It is proposed that two key developments are required if this vision is to be achieved. First, there is a trend to modelling approaches that better capture the effects of public health interventions. This trend needs to continue, and economists need to consider a broader range of modelling techniques than are currently employed to assess public health interventions. The selection and implementation of alternative modelling techniques should be facilitated by the production of better data on the behavioural outcomes generated by public health interventions. Second, economists are currently exploring a number of valuation paradigms that hold the promise of more appropriate valuation of public health interventions outcomes. These include the capabilities approach and the subjective well-being approach, both of which offer the possibility of broader measures of value than the approaches currently employed by health economists. These developments should not, however, be made by economists alone. These questions, in particular what method should be used to value public health outcomes, require social value judgements that are beyond the capacity of economists. This choice will require consultation with policy makers, and perhaps even the general public. Such collaboration would have the benefit of ensuring that the methods developed are useful for decision makers.", "author" : [ { "dropping-particle" : "", "family" : "Marsh", "given" : "Kevin", "non-dropping-particle" : "", "parse-names" : false, "suffix" : "" }, { "dropping-particle" : "", "family" : "Phillips", "given" : "Ceri J", "non-dropping-particle" : "", "parse-names" : false, "suffix" : "" }, { "dropping-particle" : "", "family" : "Fordham", "given" : "Richard", "non-dropping-particle" : "", "parse-names" : false, "suffix" : "" }, { "dropping-particle" : "", "family" : "Bertranou", "given" : "Evelina", "non-dropping-particle" : "", "parse-names" : false, "suffix" : "" }, { "dropping-particle" : "", "family" : "Hale", "given" : "Janine", "non-dropping-particle" : "", "parse-names" : false, "suffix" : "" } ], "container-title" : "Health Economics Review", "id" : "ITEM-2", "issue" : "1", "issued" : { "date-parts" : [ [ "2012" ] ] }, "page" : "17", "title" : "Estimating cost-effectiveness in public health: a summary of modelling and valuation methods", "type" : "article-journal", "volume" : "2" }, "uris" : [ "http://www.mendeley.com/documents/?uuid=5d40d432-5fce-4b4e-86c2-03b5e339336f" ] }, { "id" : "ITEM-3", "itemData" : { "DOI" : "10.1007/s10198-013-0517-9", "ISBN" : "1618-7598 1618-7601", "ISSN" : "16187601", "PMID" : "23843123", "abstract" : "A standard practice in health economic evaluation is to monetize health effects by assuming a certain societal willingness-to-pay per unit of health gain. Although the resulting net monetary benefit (NMB) is easy to compute, the use of a single willingness-to-pay threshold assumes expressibility of the health effects on a single non-monetary scale. To relax this assumption, this article proves that the NMB framework is a special case of the more general stochastic multi-criteria acceptability analysis (SMAA) method. Specifically, as SMAA does not restrict the number of criteria to two and also does not require the marginal rates of substitution to be constant, there are problem instances for which the use of this more general method may result in a better understanding of the trade-offs underlying the reimbursement decision-making problem. This is illustrated by applying both methods in a case study related to infertility treatment.", "author" : [ { "dropping-particle" : "", "family" : "Postmus", "given" : "Douwe", "non-dropping-particle" : "", "parse-names" : false, "suffix" : "" }, { "dropping-particle" : "", "family" : "Tervonen", "given" : "Tommi", "non-dropping-particle" : "", "parse-names" : false, "suffix" : "" }, { "dropping-particle" : "", "family" : "Valkenhoef", "given" : "Gert", "non-dropping-particle" : "Van", "parse-names" : false, "suffix" : "" }, { "dropping-particle" : "", "family" : "Hillege", "given" : "Hans L.", "non-dropping-particle" : "", "parse-names" : false, "suffix" : "" }, { "dropping-particle" : "", "family" : "Buskens", "given" : "Erik", "non-dropping-particle" : "", "parse-names" : false, "suffix" : "" } ], "container-title" : "European Journal of Health Economics", "id" : "ITEM-3", "issue" : "7", "issued" : { "date-parts" : [ [ "2014" ] ] }, "page" : "709-716", "title" : "A multi-criteria decision analysis perspective on the health economic evaluation of medical interventions", "type" : "article-journal", "volume" : "15" }, "uris" : [ "http://www.mendeley.com/documents/?uuid=b5dbc5ce-3af7-41cd-8347-5d5665add9f1" ] } ], "mendeley" : { "formattedCitation" : "(Brousselle and Lessard, 2011; Marsh et al., 2012; Postmus et al., 2014)", "plainTextFormattedCitation" : "(Brousselle and Lessard, 2011; Marsh et al., 2012; Postmus et al., 2014)", "previouslyFormattedCitation" : "(Brousselle and Lessard, 2011; Marsh et al., 2012; Postmus et al., 2014)" }, "properties" : {  }, "schema" : "https://github.com/citation-style-language/schema/raw/master/csl-citation.json" }</w:instrText>
      </w:r>
      <w:r>
        <w:fldChar w:fldCharType="separate"/>
      </w:r>
      <w:bookmarkStart w:id="108" w:name="__Fieldmark__912_513475976"/>
      <w:r>
        <w:rPr>
          <w:rFonts w:ascii="Calibri" w:hAnsi="Calibri" w:asciiTheme="majorHAnsi" w:hAnsiTheme="majorHAnsi"/>
          <w:lang w:val="en-GB"/>
        </w:rPr>
        <w:t>(</w:t>
      </w:r>
      <w:bookmarkStart w:id="109" w:name="__Fieldmark__3200_903549581"/>
      <w:r>
        <w:rPr>
          <w:rFonts w:ascii="Calibri" w:hAnsi="Calibri" w:asciiTheme="majorHAnsi" w:hAnsiTheme="majorHAnsi"/>
          <w:lang w:val="en-GB"/>
        </w:rPr>
        <w:t>Brousselle and Lessard, 2011; Marsh et al., 2012; Postmus et al., 2014)</w:t>
      </w:r>
      <w:r>
        <w:rPr>
          <w:rFonts w:ascii="Calibri" w:hAnsi="Calibri" w:asciiTheme="majorHAnsi" w:hAnsiTheme="majorHAnsi"/>
          <w:lang w:val="en-GB"/>
        </w:rPr>
      </w:r>
      <w:r>
        <w:fldChar w:fldCharType="end"/>
      </w:r>
      <w:bookmarkEnd w:id="108"/>
      <w:bookmarkEnd w:id="109"/>
      <w:r>
        <w:rPr>
          <w:rFonts w:ascii="Calibri" w:hAnsi="Calibri" w:asciiTheme="majorHAnsi" w:hAnsiTheme="majorHAnsi"/>
          <w:lang w:val="en-GB"/>
        </w:rPr>
        <w:t xml:space="preserve">. Cost-of-illness analysis was the first economic evaluation approach used in the healthcare sector. It aims to quantify the economic burden of a disease or health condition for the health system provider, families or the society </w:t>
      </w:r>
      <w:r>
        <w:fldChar w:fldCharType="begin"/>
      </w:r>
      <w:r>
        <w:instrText>ADDIN CSL_CITATION { "citationItems" : [ { "id" : "ITEM-1", "itemData" : { "DOI" : "10.1016/j.healthpol.2005.07.016", "ISBN" : "0168-8510 (Print)", "ISSN" : "01688510", "PMID" : "16139925", "abstract" : "Cost-of-illness (COI) was the first economic evaluation technique used in the health field. The principal aim was to measure the economic burden of illness to society. Its usefulness as a decision-making tool has however been questioned since its inception. The main criticism came from welfare economists who rejected COIs because they were not grounded in welfare economics theory. Other attacks related to the use of the human capital approach (HCA) to evaluate morbidity and mortality costs since it was said that the HCA had nothing to do with the value people attach to their lives. Finally, objections were made that COI could not be of any help to decision makers and that other forms of economic evaluation (e.g. cost-effectiveness, cost-benefit analysis) would be much more useful to those taking decisions and ranking priorities. Conversely, it is here suggested that COI can be a good economic tool to inform decision makers if it is considered from another perspective. COI is a descriptive study that can provide information to support the political process as well as the management functions at different levels of the healthcare organisations. To do that, the design of the study must be innovative, capable of measuring the true cost to society; to estimate the main cost components and their incidence over total costs; to envisage the different subjects who bear the costs; to identify the actual clinical management of illness; and to explain cost variability. In order to reach these goals, COI need to be designed as observational bottom-up studies. \u00a9 2005 Elsevier Ireland Ltd. All rights reserved.", "author" : [ { "dropping-particle" : "", "family" : "Tarricone", "given" : "Rosanna", "non-dropping-particle" : "", "parse-names" : false, "suffix" : "" } ], "container-title" : "Health Policy", "id" : "ITEM-1", "issue" : "1", "issued" : { "date-parts" : [ [ "2006" ] ] }, "page" : "51-63", "title" : "Cost-of-illness analysis. What room in health economics?", "type" : "article-journal", "volume" : "77" }, "uris" : [ "http://www.mendeley.com/documents/?uuid=c2d24df8-652e-4e89-9006-d17be7c63908" ] } ], "mendeley" : { "formattedCitation" : "(Tarricone, 2006)", "plainTextFormattedCitation" : "(Tarricone, 2006)", "previouslyFormattedCitation" : "(Tarricone, 2006)" }, "properties" : {  }, "schema" : "https://github.com/citation-style-language/schema/raw/master/csl-citation.json" }</w:instrText>
      </w:r>
      <w:r>
        <w:fldChar w:fldCharType="separate"/>
      </w:r>
      <w:bookmarkStart w:id="110" w:name="__Fieldmark__919_513475976"/>
      <w:r>
        <w:rPr>
          <w:rFonts w:ascii="Calibri" w:hAnsi="Calibri" w:asciiTheme="majorHAnsi" w:hAnsiTheme="majorHAnsi"/>
          <w:lang w:val="en-GB"/>
        </w:rPr>
        <w:t>(</w:t>
      </w:r>
      <w:bookmarkStart w:id="111" w:name="__Fieldmark__3209_903549581"/>
      <w:r>
        <w:rPr>
          <w:rFonts w:ascii="Calibri" w:hAnsi="Calibri" w:asciiTheme="majorHAnsi" w:hAnsiTheme="majorHAnsi"/>
          <w:lang w:val="en-GB"/>
        </w:rPr>
        <w:t>Tarricone, 2006)</w:t>
      </w:r>
      <w:r>
        <w:rPr>
          <w:rFonts w:ascii="Calibri" w:hAnsi="Calibri" w:asciiTheme="majorHAnsi" w:hAnsiTheme="majorHAnsi"/>
          <w:lang w:val="en-GB"/>
        </w:rPr>
      </w:r>
      <w:r>
        <w:fldChar w:fldCharType="end"/>
      </w:r>
      <w:bookmarkEnd w:id="110"/>
      <w:bookmarkEnd w:id="111"/>
      <w:r>
        <w:rPr>
          <w:rFonts w:ascii="Calibri" w:hAnsi="Calibri" w:asciiTheme="majorHAnsi" w:hAnsiTheme="majorHAnsi"/>
          <w:lang w:val="en-GB"/>
        </w:rPr>
        <w:t xml:space="preserve">. Different approaches include the assessment of: (1) direct costs associated </w:t>
      </w:r>
      <w:del w:id="139" w:author="Unknown Author" w:date="2018-04-12T11:01:00Z">
        <w:r>
          <w:rPr>
            <w:rFonts w:ascii="Calibri" w:hAnsi="Calibri" w:asciiTheme="majorHAnsi" w:hAnsiTheme="majorHAnsi"/>
            <w:lang w:val="en-GB"/>
          </w:rPr>
          <w:delText>to</w:delText>
        </w:r>
      </w:del>
      <w:ins w:id="140" w:author="Unknown Author" w:date="2018-04-12T11:01:00Z">
        <w:r>
          <w:rPr>
            <w:rFonts w:ascii="Calibri" w:hAnsi="Calibri" w:asciiTheme="majorHAnsi" w:hAnsiTheme="majorHAnsi"/>
            <w:lang w:val="en-GB"/>
          </w:rPr>
          <w:t>with</w:t>
        </w:r>
      </w:ins>
      <w:r>
        <w:rPr>
          <w:rFonts w:ascii="Calibri" w:hAnsi="Calibri" w:asciiTheme="majorHAnsi" w:hAnsiTheme="majorHAnsi"/>
          <w:lang w:val="en-GB"/>
        </w:rPr>
        <w:t xml:space="preserve"> medical and non-medical costs due to health services utilisation, such as drugs and transportation; (2) indirect costs, also known as productivity losses related to illness; and (3) intangible costs related to disease discomfort and pain </w:t>
      </w:r>
      <w:r>
        <w:fldChar w:fldCharType="begin"/>
      </w:r>
      <w:r>
        <w:instrText>ADDIN CSL_CITATION { "citationItems" : [ { "id" : "ITEM-1", "itemData" : { "DOI" : "10.3350/cmh.2014.20.4.327", "ISBN" : "2287-2728", "ISSN" : "2287-2728", "PMID" : "25548737", "abstract" : "Liver diseases are one of the main causes of death, and their ever-increasing prevalence is threatening to cause significant damage both to individuals and society as a whole. This damage is especially serious for the economically active population in Korea. From the societal perspective, it is therefore necessary to consider the economic impacts associated with liver diseases, and identify interventions that can reduce the burden of these diseases. The cost-of-illness study is considered to be an essential evaluation technique in health care. By measuring and comparing the economic burdens of diseases to society, such studies can help health-care decision-makers to set up and prioritize health-care policies and interventions. Using economic theories, this paper introduces various study methods that are generally applicable to most disease cases for estimating the costs of illness associated with mortality, morbidity, disability, and other disease characteristics. It also presents concepts and scopes of costs along with different cost categories from different research perspectives in cost estimations. By discussing the epidemiological and economic grounds of the cost-of-illness study, the reported results represent useful information about several evaluation techniques at an advanced level, such as cost-benefit analysis, cost-effectiveness analysis, and cost-utility analysis.", "author" : [ { "dropping-particle" : "", "family" : "Jo", "given" : "Changik", "non-dropping-particle" : "", "parse-names" : false, "suffix" : "" } ], "container-title" : "Clinical and Molecular Hepatology", "id" : "ITEM-1", "issue" : "4", "issued" : { "date-parts" : [ [ "2014" ] ] }, "page" : "327", "title" : "Cost-of-illness studies: concepts, scopes, and methods", "type" : "article-journal", "volume" : "20" }, "uris" : [ "http://www.mendeley.com/documents/?uuid=d2ebfe58-10f8-4b54-89cd-9e44e68f6ff4" ] } ], "mendeley" : { "formattedCitation" : "(Jo, 2014)", "plainTextFormattedCitation" : "(Jo, 2014)", "previouslyFormattedCitation" : "(Jo, 2014)" }, "properties" : {  }, "schema" : "https://github.com/citation-style-language/schema/raw/master/csl-citation.json" }</w:instrText>
      </w:r>
      <w:r>
        <w:fldChar w:fldCharType="separate"/>
      </w:r>
      <w:bookmarkStart w:id="112" w:name="__Fieldmark__926_513475976"/>
      <w:r>
        <w:rPr>
          <w:rFonts w:ascii="Calibri" w:hAnsi="Calibri" w:asciiTheme="majorHAnsi" w:hAnsiTheme="majorHAnsi"/>
          <w:lang w:val="en-GB"/>
        </w:rPr>
        <w:t>(</w:t>
      </w:r>
      <w:bookmarkStart w:id="113" w:name="__Fieldmark__3216_903549581"/>
      <w:r>
        <w:rPr>
          <w:rFonts w:ascii="Calibri" w:hAnsi="Calibri" w:asciiTheme="majorHAnsi" w:hAnsiTheme="majorHAnsi"/>
          <w:lang w:val="en-GB"/>
        </w:rPr>
        <w:t>Jo, 2014)</w:t>
      </w:r>
      <w:r>
        <w:rPr>
          <w:rFonts w:ascii="Calibri" w:hAnsi="Calibri" w:asciiTheme="majorHAnsi" w:hAnsiTheme="majorHAnsi"/>
          <w:lang w:val="en-GB"/>
        </w:rPr>
      </w:r>
      <w:r>
        <w:fldChar w:fldCharType="end"/>
      </w:r>
      <w:bookmarkEnd w:id="112"/>
      <w:bookmarkEnd w:id="113"/>
      <w:r>
        <w:rPr>
          <w:rFonts w:ascii="Calibri" w:hAnsi="Calibri" w:asciiTheme="majorHAnsi" w:hAnsiTheme="majorHAnsi"/>
          <w:lang w:val="en-GB"/>
        </w:rPr>
        <w:t>. Cost-of-illness studies are relevant for policy makers as they identify the economic burden of a disease, which is essential for the feasibility of implementing new technology.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New effective interventions may improve access to prevention and treatment and reduce the disease burden and its associated economic cost. Economic evaluation is crucial in LMICs as: (1) it can help evaluating the impact of a health technology (health technology assessment, HTA) or a health intervention </w:t>
      </w:r>
      <w:r>
        <w:fldChar w:fldCharType="begin"/>
      </w:r>
      <w:r>
        <w:instrText>ADDIN CSL_CITATION { "citationItems" : [ { "id" : "ITEM-1", "itemData" : { "DOI" : "10.1016/j.healthpol.2010.10.012", "ISBN" : "1872-6054", "ISSN" : "01688510", "PMID" : "21071107", "abstract" : "Objectives: To review the criteria and 'other' considerations used internationally for prioritizing new health technologies, and to demonstrate a conjoint-analysis methodology (also known as discrete choice experiments) for deriving relative weights for the criteria. Methods: We searched the literature for criteria and other considerations for prioritizing new technologies. A convenience sample of 74 respondents completed a conjoint-analysis survey involving criteria related to technologies' 'benefits'. Results: Encompassing 11 countries and the US state of Oregon, we were able to distinguish three main groups of criteria: (a) Need, appropriateness and clinical benefits; (b) Efficiency (including cost-effectiveness); and (c) Equality, solidarity and other ethical or social values. For several countries, the quality of the clinical and economic evidence and factors related to strategic issues and procedural justice respectively are also considered. The criteria and their weights from the conjoint-analysis survey are: 'Lives saved' = 0.343, 'Life-prolongation benefits' = 0.243, 'Quality-of-life gains' = 0.217, a criterion representing the availability of alternative treatments = 0.107, and 'Other important social/ethical benefits' = 0.087. Conclusions: The criteria represent a pluralistic combination of needs-based, maximizing and egalitarian principles, and we demonstrated a methodology for deriving the weights for criteria related to technologies' 'benefits'. \u00a9 2010 Elsevier Ireland Ltd.", "author" : [ { "dropping-particle" : "", "family" : "Golan", "given" : "Ofra", "non-dropping-particle" : "", "parse-names" : false, "suffix" : "" }, { "dropping-particle" : "", "family" : "Hansen", "given" : "Paul", "non-dropping-particle" : "", "parse-names" : false, "suffix" : "" }, { "dropping-particle" : "", "family" : "Kaplan", "given" : "Giora", "non-dropping-particle" : "", "parse-names" : false, "suffix" : "" }, { "dropping-particle" : "", "family" : "Tal", "given" : "Orna", "non-dropping-particle" : "", "parse-names" : false, "suffix" : "" } ], "container-title" : "Health Policy", "id" : "ITEM-1", "issue" : "2-3", "issued" : { "date-parts" : [ [ "2011" ] ] }, "page" : "126-135", "title" : "Health technology prioritization: Which criteria for prioritizing new technologies and what are their relative weights?", "type" : "article-journal", "volume" : "102" }, "uris" : [ "http://www.mendeley.com/documents/?uuid=6503d76c-27ec-4902-adb9-2392709ff7c9" ] }, { "id" : "ITEM-2", "itemData" : { "DOI" : "10.1287/xxxx.0000.0000", "ISBN" : "1817257722", "ISSN" : "1864-7057", "PMID" : "2897", "abstract" : "We present a model that explains how a cluster moves through a life cycle and why this movement differs from the industry life cycle. The model is based on three key processes: the changing heterogeneity in the cluster describes the movement of the cluster through the life cycle; the geographical absorptive capacity enables clustered companies to take advantage of a larger diversity of knowledge and the stronger convergence of clustered companies compared to non-clustered companies results in a reduction of heterogeneity. We apply these processes to four stages of the cluster life cycle: emergence, growth, sustainment and decline.", "author" : [ { "dropping-particle" : "", "family" : "Hartz", "given" : "Susanne", "non-dropping-particle" : "", "parse-names" : false, "suffix" : "" }, { "dropping-particle" : "", "family" : "John", "given" : "J\u00fcrgen", "non-dropping-particle" : "", "parse-names" : false, "suffix" : "" } ], "container-title" : "Health Policy", "id" : "ITEM-2", "issue" : "2", "issued" : { "date-parts" : [ [ "2009" ] ] }, "page" : "184-192", "title" : "Public health policy decisions on medical innovations: What role can early economic evaluation play?", "type" : "article-journal", "volume" : "89" }, "uris" : [ "http://www.mendeley.com/documents/?uuid=c8d1d9b3-0244-49e8-b123-fb0c358010f3" ] } ], "mendeley" : { "formattedCitation" : "(Golan et al., 2011; Hartz and John, 2009)", "plainTextFormattedCitation" : "(Golan et al., 2011; Hartz and John, 2009)", "previouslyFormattedCitation" : "(Golan et al., 2011; Hartz and John, 2009)" }, "properties" : {  }, "schema" : "https://github.com/citation-style-language/schema/raw/master/csl-citation.json" }</w:instrText>
      </w:r>
      <w:r>
        <w:fldChar w:fldCharType="separate"/>
      </w:r>
      <w:bookmarkStart w:id="114" w:name="__Fieldmark__935_513475976"/>
      <w:r>
        <w:rPr>
          <w:rFonts w:ascii="Calibri" w:hAnsi="Calibri" w:asciiTheme="majorHAnsi" w:hAnsiTheme="majorHAnsi"/>
          <w:lang w:val="en-GB"/>
        </w:rPr>
        <w:t>(</w:t>
      </w:r>
      <w:bookmarkStart w:id="115" w:name="__Fieldmark__3248_903549581"/>
      <w:r>
        <w:rPr>
          <w:rFonts w:ascii="Calibri" w:hAnsi="Calibri" w:asciiTheme="majorHAnsi" w:hAnsiTheme="majorHAnsi"/>
          <w:lang w:val="en-GB"/>
        </w:rPr>
        <w:t>Golan et al., 2011; Hartz and John, 2009)</w:t>
      </w:r>
      <w:r>
        <w:rPr>
          <w:rFonts w:ascii="Calibri" w:hAnsi="Calibri" w:asciiTheme="majorHAnsi" w:hAnsiTheme="majorHAnsi"/>
          <w:lang w:val="en-GB"/>
        </w:rPr>
      </w:r>
      <w:r>
        <w:fldChar w:fldCharType="end"/>
      </w:r>
      <w:bookmarkEnd w:id="114"/>
      <w:bookmarkEnd w:id="115"/>
      <w:r>
        <w:rPr>
          <w:rFonts w:ascii="Calibri" w:hAnsi="Calibri" w:asciiTheme="majorHAnsi" w:hAnsiTheme="majorHAnsi"/>
          <w:lang w:val="en-GB"/>
        </w:rPr>
        <w:t xml:space="preserve">, as well as the financial feasibility of its implementation </w:t>
      </w:r>
      <w:r>
        <w:fldChar w:fldCharType="begin"/>
      </w:r>
      <w:r>
        <w:instrText>ADDIN CSL_CITATION { "citationItems" : [ { "id" : "ITEM-1", "itemData" : { "DOI" : "10.1016/j.jval.2013.08.2291", "ISBN" : "1524-4733 (Electronic)\\n1098-3015 (Linking)", "ISSN" : "10983015", "PMID" : "24438712", "abstract" : "Background Budget impact analyses (BIAs) are an essential part of a comprehensive economic assessment of a health care intervention and are increasingly required by reimbursement authorities as part of a listing or reimbursement submission. Objectives The objective of this report was to present updated guidance on methods for those undertaking such analyses or for those reviewing the results of such analyses. This update was needed, in part, because of developments in BIA methods as well as a growing interest, particularly in emerging markets, in matters related to affordability and population health impacts of health care interventions. Methods The Task Force was approved by the International Society for Pharmacoeconomics and Outcomes Research Health Sciences Policy Council and appointed by its Board of Directors. Members were experienced developers or users of BIAs; worked in academia and industry and as advisors to governments; and came from several countries in North America and South America, Oceania, Asia, and Europe. The Task Force solicited comments on the drafts from a core group of external reviewers and, more broadly, from the membership of the International Society for Pharmacoeconomics and Outcomes Research. Results The Task Force recommends that the design of a BIA for a new health care intervention should take into account relevant features of the health care system, possible access restrictions, the anticipated uptake of the new intervention, and the use and effects of the current and new interventions. The key elements of a BIA include estimating the size of the eligible population, the current mix of treatments and the expected mix after the introduction of the new intervention, the cost of the treatment mixes, and any changes expected in condition-related costs. Where possible, the BIA calculations should be performed by using a simple cost calculator approach because of its ease of use for budget holders. In instances, however, in which the changes in eligible population size, disease severity mix, or treatment patterns cannot be credibly captured by using the cost calculator approach, a cohort or patient-level condition-specific model may be used to estimate the budget impact of the new intervention, accounting appropriately for those entering and leaving the eligible population over time. In either case, the BIA should use data that reflect values specific to a particular decision maker's population. Sensitivity analysis should be \u2026", "author" : [ { "dropping-particle" : "", "family" : "Sullivan", "given" : "Sean D.", "non-dropping-particle" : "", "parse-names" : false, "suffix" : "" }, { "dropping-particle" : "", "family" : "Mauskopf", "given" : "Josephine A.", "non-dropping-particle" : "", "parse-names" : false, "suffix" : "" }, { "dropping-particle" : "", "family" : "Augustovski", "given" : "Federico", "non-dropping-particle" : "", "parse-names" : false, "suffix" : "" }, { "dropping-particle" : "", "family" : "Jaime Caro", "given" : "J.", "non-dropping-particle" : "", "parse-names" : false, "suffix" : "" }, { "dropping-particle" : "", "family" : "Lee", "given" : "Karen M.", "non-dropping-particle" : "", "parse-names" : false, "suffix" : "" }, { "dropping-particle" : "", "family" : "Minchin", "given" : "Mark", "non-dropping-particle" : "", "parse-names" : false, "suffix" : "" }, { "dropping-particle" : "", "family" : "Orlewska", "given" : "Ewa", "non-dropping-particle" : "", "parse-names" : false, "suffix" : "" }, { "dropping-particle" : "", "family" : "Penna", "given" : "Pete", "non-dropping-particle" : "", "parse-names" : false, "suffix" : "" }, { "dropping-particle" : "", "family" : "Rodriguez Barrios", "given" : "Jose Manuel", "non-dropping-particle" : "", "parse-names" : false, "suffix" : "" }, { "dropping-particle" : "", "family" : "Shau", "given" : "Wen Yi", "non-dropping-particle" : "", "parse-names" : false, "suffix" : "" } ], "container-title" : "Value in Health", "id" : "ITEM-1", "issue" : "1", "issued" : { "date-parts" : [ [ "2014" ] ] }, "page" : "5-14", "publisher" : "Elsevier", "title" : "Budget impact analysis - Principles of good practice: Report of the ISPOR 2012 budget impact analysis good practice II task force", "type" : "article-journal", "volume" : "17" }, "uris" : [ "http://www.mendeley.com/documents/?uuid=32a17ddd-18bd-41fe-8d9f-d2f2b4e82a85" ] } ], "mendeley" : { "formattedCitation" : "(Sullivan et al., 2014)", "plainTextFormattedCitation" : "(Sullivan et al., 2014)", "previouslyFormattedCitation" : "(Sullivan et al., 2014)" }, "properties" : {  }, "schema" : "https://github.com/citation-style-language/schema/raw/master/csl-citation.json" }</w:instrText>
      </w:r>
      <w:r>
        <w:fldChar w:fldCharType="separate"/>
      </w:r>
      <w:bookmarkStart w:id="116" w:name="__Fieldmark__942_513475976"/>
      <w:r>
        <w:rPr>
          <w:rFonts w:ascii="Calibri" w:hAnsi="Calibri" w:asciiTheme="majorHAnsi" w:hAnsiTheme="majorHAnsi"/>
          <w:lang w:val="en-GB"/>
        </w:rPr>
        <w:t>(</w:t>
      </w:r>
      <w:bookmarkStart w:id="117" w:name="__Fieldmark__3253_903549581"/>
      <w:r>
        <w:rPr>
          <w:rFonts w:ascii="Calibri" w:hAnsi="Calibri" w:asciiTheme="majorHAnsi" w:hAnsiTheme="majorHAnsi"/>
          <w:lang w:val="en-GB"/>
        </w:rPr>
        <w:t>Sullivan et al., 2014)</w:t>
      </w:r>
      <w:r>
        <w:rPr>
          <w:rFonts w:ascii="Calibri" w:hAnsi="Calibri" w:asciiTheme="majorHAnsi" w:hAnsiTheme="majorHAnsi"/>
          <w:lang w:val="en-GB"/>
        </w:rPr>
      </w:r>
      <w:r>
        <w:fldChar w:fldCharType="end"/>
      </w:r>
      <w:bookmarkEnd w:id="116"/>
      <w:bookmarkEnd w:id="117"/>
      <w:r>
        <w:rPr>
          <w:rFonts w:ascii="Calibri" w:hAnsi="Calibri" w:asciiTheme="majorHAnsi" w:hAnsiTheme="majorHAnsi"/>
          <w:lang w:val="en-GB"/>
        </w:rPr>
        <w:t xml:space="preserve">; (2) it has the essential role to evaluate if the incremental costs per incremental unit of effectiveness lies or does not lie beyond a critical threshold value representing the cut-off for taking decisions among health and healthcare interventions (cost-effectiveness/cost-utility analyses) and (3) it  helps generating, monitoring and evaluating new financial approaches, such as priority review vouchers or PPP, to incentivise research and development of new health products </w:t>
      </w:r>
      <w:r>
        <w:fldChar w:fldCharType="begin"/>
      </w:r>
      <w:r>
        <w:instrText>ADDIN CSL_CITATION { "citationItems" : [ { "id" : "ITEM-1", "itemData" : { "DOI" : "10.1016/j.healthpol.2017.05.005", "ISSN" : "18726054", "PMID" : "28579276", "abstract" : "Pharmaceutical companies are reluctant to invest in research and development (R&amp;D) of products for neglected tropical diseases (NTDs) mainly due to the low ability-to-pay of health insurance systems and of potential consumers. The available preventive and curative interventions for NTDs mostly rely on old technologies and products that are often not adequate. Moreover, NTDs mostly affect populations living in remote rural areas and conflict zones, thereby hampering access to healthcare. The challenges posed by NTDs have led to the proliferation of a variety of public-private partnerships (PPPs) in the last decades. We conducted a systematic review to assess the functioning and impact of these partnerships on the development of and access to better technologies for NTDs. Our systematic review revealed a clear lack of empirical assessment of PPPs: we could not find any impact evaluation analyses, while these are crucial to realize the full potential of PPPs and to progress further towards NTDs elimination.", "author" : [ { "dropping-particle" : "", "family" : "Aerts", "given" : "C\u00e9line", "non-dropping-particle" : "", "parse-names" : false, "suffix" : "" }, { "dropping-particle" : "", "family" : "Sunyoto", "given" : "Temmy", "non-dropping-particle" : "", "parse-names" : false, "suffix" : "" }, { "dropping-particle" : "", "family" : "Tediosi", "given" : "Fabrizio", "non-dropping-particle" : "", "parse-names" : false, "suffix" : "" }, { "dropping-particle" : "", "family" : "Sicuri", "given" : "Elisa", "non-dropping-particle" : "", "parse-names" : false, "suffix" : "" } ], "container-title" : "Health Policy", "id" : "ITEM-1", "issue" : "7", "issued" : { "date-parts" : [ [ "2017" ] ] }, "page" : "745-754", "publisher" : "Elsevier Ireland Ltd", "title" : "Are public-private partnerships the solution to tackle neglected tropical diseases? A systematic review of the literature", "type" : "article-journal", "volume" : "121" }, "uris" : [ "http://www.mendeley.com/documents/?uuid=d4224176-9e26-413f-be39-663dbcb9821d" ] }, { "id" : "ITEM-2", "itemData" : { "DOI" : "10.1371/journal.pmed.0020302", "ISBN" : "1549-1676 (Electronic)", "ISSN" : "15491277", "PMID" : "16138789", "abstract" : "New research suggests that long-held beliefs on neglected disease drug development activity are no longer accurate.", "author" : [ { "dropping-particle" : "", "family" : "Moran", "given" : "Mary", "non-dropping-particle" : "", "parse-names" : false, "suffix" : "" } ], "container-title" : "PLoS Medicine", "id" : "ITEM-2", "issue" : "9", "issued" : { "date-parts" : [ [ "2005" ] ] }, "page" : "0828-0832", "title" : "A breakthrough in R&amp;D for neglected diseases: New ways to get the drugs we need", "type" : "article-journal", "volume" : "2" }, "uris" : [ "http://www.mendeley.com/documents/?uuid=7875d5ef-aad7-4cbf-88df-93141254cdc6" ] } ], "mendeley" : { "formattedCitation" : "(Aerts et al., 2017; Moran, 2005)", "plainTextFormattedCitation" : "(Aerts et al., 2017; Moran, 2005)", "previouslyFormattedCitation" : "(Aerts et al., 2017; Moran, 2005)" }, "properties" : {  }, "schema" : "https://github.com/citation-style-language/schema/raw/master/csl-citation.json" }</w:instrText>
      </w:r>
      <w:r>
        <w:fldChar w:fldCharType="separate"/>
      </w:r>
      <w:bookmarkStart w:id="118" w:name="__Fieldmark__949_513475976"/>
      <w:r>
        <w:rPr>
          <w:rFonts w:ascii="Calibri" w:hAnsi="Calibri" w:asciiTheme="majorHAnsi" w:hAnsiTheme="majorHAnsi"/>
          <w:lang w:val="en-GB"/>
        </w:rPr>
        <w:t>(</w:t>
      </w:r>
      <w:bookmarkStart w:id="119" w:name="__Fieldmark__3283_903549581"/>
      <w:r>
        <w:rPr>
          <w:rFonts w:ascii="Calibri" w:hAnsi="Calibri" w:asciiTheme="majorHAnsi" w:hAnsiTheme="majorHAnsi"/>
          <w:lang w:val="en-GB"/>
        </w:rPr>
        <w:t>Aerts et al., 2017; Moran, 2005)</w:t>
      </w:r>
      <w:r>
        <w:rPr>
          <w:rFonts w:ascii="Calibri" w:hAnsi="Calibri" w:asciiTheme="majorHAnsi" w:hAnsiTheme="majorHAnsi"/>
          <w:lang w:val="en-GB"/>
        </w:rPr>
      </w:r>
      <w:r>
        <w:fldChar w:fldCharType="end"/>
      </w:r>
      <w:bookmarkEnd w:id="118"/>
      <w:bookmarkEnd w:id="119"/>
      <w:r>
        <w:rPr>
          <w:rFonts w:ascii="Calibri" w:hAnsi="Calibri" w:asciiTheme="majorHAnsi" w:hAnsiTheme="majorHAnsi"/>
          <w:lang w:val="en-GB"/>
        </w:rPr>
        <w:t xml:space="preserve">. Moreover, economic evaluation is not only essential for policy purposes, but may support physicians in their daily decision-making process </w:t>
      </w:r>
      <w:r>
        <w:fldChar w:fldCharType="begin"/>
      </w:r>
      <w:r>
        <w:instrText>ADDIN CSL_CITATION { "citationItems" : [ { "id" : "ITEM-1", "itemData" : { "DOI" : "10.1016/j.socscimed.2010.03.013", "ISBN" : "0277-9536", "ISSN" : "02779536", "PMID" : "20382461", "abstract" : "Despite increasing interest in health economic evaluation, investigations have shown limited use by micro (clinical) level decision-makers. A considerable amount of health decisions take place daily at the point of the clinical encounter; especially in primary care. Since every decision has an opportunity cost, ignoring economic information in family physicians' (FPs) decision-making may have a broad impact on health care efficiency. Knowledge translation of economic evaluation is often based on taken-for-granted assumptions about actors' interests and interactions, neglecting much of the complexity of social reality. Health economics literature frequently assumes a rational and linear decision-making process. Clinical decision-making is in fact a complex social, dynamic, multifaceted process, involving relationships and contextual embeddedness. FPs are embedded in complex social networks that have a significant impact on skills, attitudes, knowledge, practices, and on the information being used. Because of their socially constructed nature, understanding preferences, professional culture, practices, and knowledge translation requires serious attention to social reality. There has been little exploration by health economists of whether the problem may be more fundamental and reside in a misunderstanding of the process of decision-making. There is a need to enhance our understanding of the role of economic evaluation in decision-making from a disciplinary perspective different than health economics. This paper argues for a different conceptualization of the role of economic evaluation in FPs' decision-making, and proposes Bourdieu's sociological theory as a research framework. Bourdieu's theory of practice illustrates how the context-sensitive nature of practice must be understood as a socially constituted practical knowledge. The proposed approach could substantially contribute to a more complex understanding of the role of economic evaluation in FPs' decision-making. \u00a9 2010 Elsevier Ltd.", "author" : [ { "dropping-particle" : "", "family" : "Lessard", "given" : "Chantale", "non-dropping-particle" : "", "parse-names" : false, "suffix" : "" }, { "dropping-particle" : "", "family" : "Contandriopoulos", "given" : "Andr\u00e9 Pierre", "non-dropping-particle" : "", "parse-names" : false, "suffix" : "" }, { "dropping-particle" : "", "family" : "Beaulieu", "given" : "Marie Dominique", "non-dropping-particle" : "", "parse-names" : false, "suffix" : "" } ], "container-title" : "Social Science and Medicine", "id" : "ITEM-1", "issue" : "12", "issued" : { "date-parts" : [ [ "2010" ] ] }, "page" : "1948-1956", "title" : "The role (or not) of economic evaluation at the micro level: Can Bourdieu's theory provide a way forward for clinical decision-making?", "type" : "article-journal", "volume" : "70" }, "uris" : [ "http://www.mendeley.com/documents/?uuid=7eb4c9f1-9aae-4048-8d1e-853ff5f8a76e" ] } ], "mendeley" : { "formattedCitation" : "(Lessard et al., 2010)", "plainTextFormattedCitation" : "(Lessard et al., 2010)", "previouslyFormattedCitation" : "(Lessard et al., 2010)" }, "properties" : {  }, "schema" : "https://github.com/citation-style-language/schema/raw/master/csl-citation.json" }</w:instrText>
      </w:r>
      <w:r>
        <w:fldChar w:fldCharType="separate"/>
      </w:r>
      <w:bookmarkStart w:id="120" w:name="__Fieldmark__956_513475976"/>
      <w:r>
        <w:rPr>
          <w:rFonts w:ascii="Calibri" w:hAnsi="Calibri" w:asciiTheme="majorHAnsi" w:hAnsiTheme="majorHAnsi"/>
          <w:lang w:val="en-GB"/>
        </w:rPr>
        <w:t>(</w:t>
      </w:r>
      <w:bookmarkStart w:id="121" w:name="__Fieldmark__3291_903549581"/>
      <w:r>
        <w:rPr>
          <w:rFonts w:ascii="Calibri" w:hAnsi="Calibri" w:asciiTheme="majorHAnsi" w:hAnsiTheme="majorHAnsi"/>
          <w:lang w:val="en-GB"/>
        </w:rPr>
        <w:t>Lessard et al., 2010)</w:t>
      </w:r>
      <w:r>
        <w:rPr>
          <w:rFonts w:ascii="Calibri" w:hAnsi="Calibri" w:asciiTheme="majorHAnsi" w:hAnsiTheme="majorHAnsi"/>
          <w:lang w:val="en-GB"/>
        </w:rPr>
      </w:r>
      <w:r>
        <w:fldChar w:fldCharType="end"/>
      </w:r>
      <w:bookmarkEnd w:id="120"/>
      <w:bookmarkEnd w:id="121"/>
      <w:r>
        <w:rPr>
          <w:rFonts w:ascii="Calibri" w:hAnsi="Calibri" w:asciiTheme="majorHAnsi" w:hAnsiTheme="majorHAnsi"/>
          <w:lang w:val="en-GB"/>
        </w:rPr>
        <w:t>, as well as individuals’ healthcare decisions.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LICs are characterised by high barriers to access to healthcare </w:t>
      </w:r>
      <w:r>
        <w:fldChar w:fldCharType="begin"/>
      </w:r>
      <w:r>
        <w:instrText>ADDIN CSL_CITATION { "citationItems" : [ { "id" : "ITEM-1", "itemData" : { "DOI" : "10.1057/9780230304673_2", "ISBN" : "9789292300838", "abstract" : "This paper describes approaches to the measurement and explanation of income-related inequality and inequity in health care financing, health care utilization and health and considers the applicability and the feasibility of these methods in low-income countries. Results from a comparative study of 14 Asian countries are used to illustrate the main issues. The structure of health finance in low-income countries, in particular the heavy reliance on out-of-pocket payments, means that the equity issues in finance are quite different from those of concern in high-income countries. Primary concern is not with the distribution of contributions to pre-payment mechanisms but with the deterrent effect of payments on utilization and the distribution of uninsured payment risks. Measurement of inequity in utilization of health care in low-income countries is constrained by the lack of reliable measures of health that can be used to standardize \u2026", "author" : [ { "dropping-particle" : "", "family" : "Doorslaer", "given" : "Eddy", "non-dropping-particle" : "van", "parse-names" : false, "suffix" : "" }, { "dropping-particle" : "", "family" : "O\u2019Donnell", "given" : "Owen", "non-dropping-particle" : "", "parse-names" : false, "suffix" : "" } ], "container-title" : "Health Inequality and Development", "id" : "ITEM-1", "issued" : { "date-parts" : [ [ "2011" ] ] }, "number-of-pages" : "20-44", "publisher-place" : "Discussion Paper No. 2008/04. UNU-WIDER", "title" : "Measurement and Explanation of Inequality in Health and Health Care in Low-Income Settings", "type" : "book" }, "uris" : [ "http://www.mendeley.com/documents/?uuid=60ad8184-7304-45ef-8f2b-9eebfb67d27c" ] }, { "id" : "ITEM-2", "itemData" : { "DOI" : "10.1196/annals.1425.011", "ISBN" : "0077-8923 (Print)\\n0077-8923 (Linking)", "ISSN" : "00778923", "PMID" : "17954679", "abstract" : "People in poor countries tend to have less access to health services than those in better-off countries, and within countries, the poor have less access to health services. This article documents disparities in access to health services in low- and middle-income countries (LMICs), using a framework incorporating quality, geographic accessibility, availability, financial accessibility, and acceptability of services. Whereas the poor in LMICs are consistently at a disadvantage in each of the dimensions of access and their determinants, this need not be the case. Many different approaches are shown to improve access to the poor, using targeted or universal approaches, engaging government, nongovernmental, or commercial organizations, and pursuing a wide variety of strategies to finance and organize services. Key ingredients of success include concerted efforts to reach the poor, engaging communities and disadvantaged people, encouraging local adaptation, and careful monitoring of effects on the poor. Yet governments in LMICs rarely focus on the poor in their policies or the implementation or monitoring of health service strategies. There are also new innovations in financing, delivery, and regulation of health services that hold promise for improving access to the poor, such as the use of health equity funds, conditional cash transfers, and coproduction and regulation of health services. The challenge remains to find ways to ensure that vulnerable populations have a say in how strategies are developed, implemented, and accounted for in ways that demonstrate improvements in access by the poor.", "author" : [ { "dropping-particle" : "", "family" : "Peters", "given" : "David H.", "non-dropping-particle" : "", "parse-names" : false, "suffix" : "" }, { "dropping-particle" : "", "family" : "Garg", "given" : "Anu", "non-dropping-particle" : "", "parse-names" : false, "suffix" : "" }, { "dropping-particle" : "", "family" : "Bloom", "given" : "Gerry", "non-dropping-particle" : "", "parse-names" : false, "suffix" : "" }, { "dropping-particle" : "", "family" : "Walker", "given" : "Damian G.", "non-dropping-particle" : "", "parse-names" : false, "suffix" : "" }, { "dropping-particle" : "", "family" : "Brieger", "given" : "William R.", "non-dropping-particle" : "", "parse-names" : false, "suffix" : "" }, { "dropping-particle" : "", "family" : "Hafizur Rahman", "given" : "M.", "non-dropping-particle" : "", "parse-names" : false, "suffix" : "" } ], "container-title" : "Annals of the New York Academy of Sciences", "id" : "ITEM-2", "issued" : { "date-parts" : [ [ "2008" ] ] }, "page" : "161-171", "title" : "Poverty and access to health care in developing countries", "type" : "article-journal", "volume" : "1136" }, "uris" : [ "http://www.mendeley.com/documents/?uuid=e7e290e9-e373-4730-a149-d5b52d990ef1" ] } ], "mendeley" : { "formattedCitation" : "(van Doorslaer and O\u2019Donnell, 2011; Peters et al., 2008)", "plainTextFormattedCitation" : "(van Doorslaer and O\u2019Donnell, 2011; Peters et al., 2008)", "previouslyFormattedCitation" : "(van Doorslaer and O\u2019Donnell, 2011; Peters et al., 2008)" }, "properties" : {  }, "schema" : "https://github.com/citation-style-language/schema/raw/master/csl-citation.json" }</w:instrText>
      </w:r>
      <w:r>
        <w:fldChar w:fldCharType="separate"/>
      </w:r>
      <w:bookmarkStart w:id="122" w:name="__Fieldmark__965_513475976"/>
      <w:r>
        <w:rPr>
          <w:rFonts w:ascii="Calibri" w:hAnsi="Calibri" w:asciiTheme="majorHAnsi" w:hAnsiTheme="majorHAnsi"/>
          <w:lang w:val="en-GB"/>
        </w:rPr>
        <w:t>(</w:t>
      </w:r>
      <w:bookmarkStart w:id="123" w:name="__Fieldmark__3303_903549581"/>
      <w:r>
        <w:rPr>
          <w:rFonts w:ascii="Calibri" w:hAnsi="Calibri" w:asciiTheme="majorHAnsi" w:hAnsiTheme="majorHAnsi"/>
          <w:lang w:val="en-GB"/>
        </w:rPr>
        <w:t>van Doorslaer and O’Donnell, 2011; Peters et al., 2008)</w:t>
      </w:r>
      <w:r>
        <w:rPr>
          <w:rFonts w:ascii="Calibri" w:hAnsi="Calibri" w:asciiTheme="majorHAnsi" w:hAnsiTheme="majorHAnsi"/>
          <w:lang w:val="en-GB"/>
        </w:rPr>
      </w:r>
      <w:r>
        <w:fldChar w:fldCharType="end"/>
      </w:r>
      <w:bookmarkEnd w:id="122"/>
      <w:bookmarkEnd w:id="123"/>
      <w:r>
        <w:rPr>
          <w:rFonts w:ascii="Calibri" w:hAnsi="Calibri" w:asciiTheme="majorHAnsi" w:hAnsiTheme="majorHAnsi"/>
          <w:lang w:val="en-GB"/>
        </w:rPr>
        <w:t xml:space="preserve">, which translate into inequitable healthcare delivery. This unfair access to healthcare, usually measured as horizontal inequity </w:t>
      </w:r>
      <w:r>
        <w:fldChar w:fldCharType="begin"/>
      </w:r>
      <w:r>
        <w:instrText>ADDIN CSL_CITATION { "citationItems" : [ { "id" : "ITEM-1", "itemData" : { "DOI" : "10.3402/gha.v8.27106", "ISSN" : "16549880", "PMID" : "26112142", "abstract" : "Individuals from different backgrounds, social groups, and countries enjoy different levels of health. This article defines and distinguishes between unavoidable health inequalities and unjust and preventable health inequities. We describe the dimensions along which health inequalities are commonly examined, including across the global population, between countries or states, and within geographies, by socially relevant groupings such as race/ethnicity, gender, education, caste, income, occupation, and more. Different theories attempt to explain group-level differences in health, including psychosocial, material deprivation, health behavior, environmental, and selection explanations. Concepts of relative versus absolute; dose?response versus threshold; composition versus context; place versus space; the life course perspective on health; causal pathways to health; conditional health effects; and group-level versus individual differences are vital in understanding health inequalities.We close by reflecting on what conditions make health inequalities unjust, and to consider the merits of policies that prioritize the elimination of health disparities versus those that focus on raising the overall standard of health in a population. Keywords:", "author" : [ { "dropping-particle" : "", "family" : "Arcaya", "given" : "Mariana C.", "non-dropping-particle" : "", "parse-names" : false, "suffix" : "" }, { "dropping-particle" : "", "family" : "Arcaya", "given" : "Alyssa L.", "non-dropping-particle" : "", "parse-names" : false, "suffix" : "" }, { "dropping-particle" : "V.", "family" : "Subramanian", "given" : "S.", "non-dropping-particle" : "", "parse-names" : false, "suffix" : "" } ], "container-title" : "Global Health Action", "id" : "ITEM-1", "issue" : "1", "issued" : { "date-parts" : [ [ "2015" ] ] }, "page" : "1-12", "title" : "Inequalities in health: Definitions, concepts, and theories", "type" : "article-journal", "volume" : "8" }, "uris" : [ "http://www.mendeley.com/documents/?uuid=e7287f21-4426-470e-9d33-c809cd319435" ] } ], "mendeley" : { "formattedCitation" : "(Arcaya et al., 2015)", "plainTextFormattedCitation" : "(Arcaya et al., 2015)", "previouslyFormattedCitation" : "(Arcaya et al., 2015)" }, "properties" : {  }, "schema" : "https://github.com/citation-style-language/schema/raw/master/csl-citation.json" }</w:instrText>
      </w:r>
      <w:r>
        <w:fldChar w:fldCharType="separate"/>
      </w:r>
      <w:bookmarkStart w:id="124" w:name="__Fieldmark__972_513475976"/>
      <w:r>
        <w:rPr>
          <w:rFonts w:ascii="Calibri" w:hAnsi="Calibri" w:asciiTheme="majorHAnsi" w:hAnsiTheme="majorHAnsi"/>
          <w:lang w:val="en-GB"/>
        </w:rPr>
        <w:t>(</w:t>
      </w:r>
      <w:bookmarkStart w:id="125" w:name="__Fieldmark__3314_903549581"/>
      <w:r>
        <w:rPr>
          <w:rFonts w:ascii="Calibri" w:hAnsi="Calibri" w:asciiTheme="majorHAnsi" w:hAnsiTheme="majorHAnsi"/>
          <w:lang w:val="en-GB"/>
        </w:rPr>
        <w:t>Arcaya et al., 2015)</w:t>
      </w:r>
      <w:r>
        <w:rPr>
          <w:rFonts w:ascii="Calibri" w:hAnsi="Calibri" w:asciiTheme="majorHAnsi" w:hAnsiTheme="majorHAnsi"/>
          <w:lang w:val="en-GB"/>
        </w:rPr>
      </w:r>
      <w:r>
        <w:fldChar w:fldCharType="end"/>
      </w:r>
      <w:bookmarkEnd w:id="124"/>
      <w:bookmarkEnd w:id="125"/>
      <w:r>
        <w:rPr>
          <w:rFonts w:ascii="Calibri" w:hAnsi="Calibri" w:asciiTheme="majorHAnsi" w:hAnsiTheme="majorHAnsi"/>
          <w:lang w:val="en-GB"/>
        </w:rPr>
        <w:t xml:space="preserve"> </w:t>
      </w:r>
      <w:del w:id="141" w:author="Unknown Author" w:date="2018-04-12T11:02:00Z">
        <w:r>
          <w:rPr>
            <w:rFonts w:ascii="Calibri" w:hAnsi="Calibri" w:asciiTheme="majorHAnsi" w:hAnsiTheme="majorHAnsi"/>
            <w:lang w:val="en-GB"/>
          </w:rPr>
          <w:delText>concretises</w:delText>
        </w:r>
      </w:del>
      <w:ins w:id="142" w:author="Unknown Author" w:date="2018-04-12T11:02:00Z">
        <w:r>
          <w:rPr>
            <w:rFonts w:ascii="Calibri" w:hAnsi="Calibri" w:asciiTheme="majorHAnsi" w:hAnsiTheme="majorHAnsi"/>
            <w:lang w:val="en-GB"/>
          </w:rPr>
          <w:t>is most poignant</w:t>
        </w:r>
      </w:ins>
      <w:r>
        <w:rPr>
          <w:rFonts w:ascii="Calibri" w:hAnsi="Calibri" w:asciiTheme="majorHAnsi" w:hAnsiTheme="majorHAnsi"/>
          <w:lang w:val="en-GB"/>
        </w:rPr>
        <w:t xml:space="preserve"> in poorer individuals reducing their access even when they have greater need for health services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"id" : "ITEM-2",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"ITEM-2",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"(Bonfrer et al., 2014; Ciss\u00e9 et al., 2007)", "plainTextFormattedCitation" : "(Bonfrer et al., 2014; Ciss\u00e9 et al., 2007)", "previouslyFormattedCitation" : "(Bonfrer et al., 2014; Ciss\u00e9 et al., 2007)" }, "properties" : {  }, "schema" : "https://github.com/citation-style-language/schema/raw/master/csl-citation.json" }</w:instrText>
      </w:r>
      <w:r>
        <w:fldChar w:fldCharType="separate"/>
      </w:r>
      <w:bookmarkStart w:id="126" w:name="__Fieldmark__979_513475976"/>
      <w:r>
        <w:rPr>
          <w:rFonts w:ascii="Calibri" w:hAnsi="Calibri" w:asciiTheme="majorHAnsi" w:hAnsiTheme="majorHAnsi"/>
          <w:lang w:val="en-GB"/>
        </w:rPr>
        <w:t>(</w:t>
      </w:r>
      <w:bookmarkStart w:id="127" w:name="__Fieldmark__3330_903549581"/>
      <w:r>
        <w:rPr>
          <w:rFonts w:ascii="Calibri" w:hAnsi="Calibri" w:asciiTheme="majorHAnsi" w:hAnsiTheme="majorHAnsi"/>
          <w:lang w:val="en-GB"/>
        </w:rPr>
        <w:t>Bonfrer et al., 2014; Cissé et al., 2007)</w:t>
      </w:r>
      <w:r>
        <w:rPr>
          <w:rFonts w:ascii="Calibri" w:hAnsi="Calibri" w:asciiTheme="majorHAnsi" w:hAnsiTheme="majorHAnsi"/>
          <w:lang w:val="en-GB"/>
        </w:rPr>
      </w:r>
      <w:r>
        <w:fldChar w:fldCharType="end"/>
      </w:r>
      <w:bookmarkEnd w:id="126"/>
      <w:bookmarkEnd w:id="127"/>
      <w:r>
        <w:rPr>
          <w:rFonts w:ascii="Calibri" w:hAnsi="Calibri" w:asciiTheme="majorHAnsi" w:hAnsiTheme="majorHAnsi"/>
          <w:lang w:val="en-GB"/>
        </w:rPr>
        <w:t xml:space="preserve">. This is exacerbated given the absence of a social health insurance in most of Sub-Saharan African countries </w:t>
      </w:r>
      <w:r>
        <w:fldChar w:fldCharType="begin"/>
      </w:r>
      <w:r>
        <w:instrText>ADDIN CSL_CITATION { "citationItems" : [ { "id" : "ITEM-1", "itemData" : { "DOI" : "10.1093/heapol/czt074", "ISBN" : "0268-1080", "ISSN" : "14602237", "PMID" : "24115777", "abstract" : "An equitable distribution of healthcare use, distributed according to people's needs instead of ability to pay, is an important goal featuring on many health policy agendas worldwide. However, relatively little is known about the extent to which this principle is violated across socio-economic groups in Sub-Saharan Africa (SSA). We examine cross-country comparative micro-data from 18 SSA countries and find that considerable inequalities in healthcare use exist and vary across countries. For almost all countries studied, healthcare utilization is considerably higher among the rich. When decomposing these inequalities we find that wealth is the single most important driver. In 12 of the 18 countries wealth is responsible for more than half of total inequality in the use of care, and in 8 countries wealth even explains more of the inequality than need, education, employment, marital status and urbanicity together. For the richer countries, notably Mauritius, Namibia, South Africa and Swaziland, the contribution of wealth is typically less important. As the bulk of inequality is not related to need for care and poor people use less care because they do not have the ability to pay, healthcare utilization in these countries is to a large extent unfairly distributed. The weak average relationship between need for and use of health care and the potential reporting heterogeneity in self-reported health across socio-economic groups imply that our findings are likely to even underestimate actual inequities in health care. At a macro level, we find that a better match of needs and use is realized in those countries with better governance and more physicians. Given the absence of social health insurance in most of these countries, policies that aim to reduce inequities in access to and use of health care must include an enhanced capacity of the poor to generate income.", "author" : [ { "dropping-particle" : "", "family" : "Bonfrer", "given" : "Igna", "non-dropping-particle" : "", "parse-names" : false, "suffix" : "" }, { "dropping-particle" : "", "family" : "Poel", "given" : "Ellen", "non-dropping-particle" : "Van De", "parse-names" : false, "suffix" : "" }, { "dropping-particle" : "", "family" : "Grimm", "given" : "Michael", "non-dropping-particle" : "", "parse-names" : false, "suffix" : "" }, { "dropping-particle" : "", "family" : "Doorslaer", "given" : "Eddy", "non-dropping-particle" : "Van", "parse-names" : false, "suffix" : "" } ], "container-title" : "Health Policy and Planning", "id" : "ITEM-1", "issue" : "7", "issued" : { "date-parts" : [ [ "2014" ] ] }, "page" : "927-937", "title" : "Does the distribution of healthcare utilization match needs in Africa?", "type" : "article-journal", "volume" : "29" }, "uris" : [ "http://www.mendeley.com/documents/?uuid=6199dadd-30e0-4a16-bfe0-0a6ec30c9b35" ] } ], "mendeley" : { "formattedCitation" : "(Bonfrer et al., 2014)", "plainTextFormattedCitation" : "(Bonfrer et al., 2014)", "previouslyFormattedCitation" : "(Bonfrer et al., 2014)" }, "properties" : {  }, "schema" : "https://github.com/citation-style-language/schema/raw/master/csl-citation.json" }</w:instrText>
      </w:r>
      <w:r>
        <w:fldChar w:fldCharType="separate"/>
      </w:r>
      <w:bookmarkStart w:id="128" w:name="__Fieldmark__986_513475976"/>
      <w:r>
        <w:rPr>
          <w:rFonts w:ascii="Calibri" w:hAnsi="Calibri" w:asciiTheme="majorHAnsi" w:hAnsiTheme="majorHAnsi"/>
          <w:lang w:val="en-GB"/>
        </w:rPr>
        <w:t>(</w:t>
      </w:r>
      <w:bookmarkStart w:id="129" w:name="__Fieldmark__3340_903549581"/>
      <w:r>
        <w:rPr>
          <w:rFonts w:ascii="Calibri" w:hAnsi="Calibri" w:asciiTheme="majorHAnsi" w:hAnsiTheme="majorHAnsi"/>
          <w:lang w:val="en-GB"/>
        </w:rPr>
        <w:t>Bonfrer et al., 2014)</w:t>
      </w:r>
      <w:r>
        <w:rPr>
          <w:rFonts w:ascii="Calibri" w:hAnsi="Calibri" w:asciiTheme="majorHAnsi" w:hAnsiTheme="majorHAnsi"/>
          <w:lang w:val="en-GB"/>
        </w:rPr>
      </w:r>
      <w:r>
        <w:fldChar w:fldCharType="end"/>
      </w:r>
      <w:bookmarkEnd w:id="128"/>
      <w:bookmarkEnd w:id="129"/>
      <w:r>
        <w:rPr>
          <w:rFonts w:ascii="Calibri" w:hAnsi="Calibri" w:asciiTheme="majorHAnsi" w:hAnsiTheme="majorHAnsi"/>
          <w:lang w:val="en-GB"/>
        </w:rPr>
        <w:t xml:space="preserve">. Moreover, poorer individuals seem to be bearing a higher burden of health expenditure, which may be happening all over Sub-Saharan Africa </w:t>
      </w:r>
      <w:r>
        <w:fldChar w:fldCharType="begin"/>
      </w:r>
      <w:r>
        <w:instrText>ADDIN CSL_CITATION { "citationItems" : [ { "id" : "ITEM-1", "itemData" : { "DOI" : "10.1016/j.healthpol.2006.02.011", "ISBN" : "0168-8510", "ISSN" : "01688510", "PMID" : "16584803", "abstract" : "This paper applies concentration curves and indices, that have been previously used to analyze progressivity in health care finance and horizontal equity in health care delivery in developed countries, to a 1998-1999 household survey about health care expenditures and utilization carried out in four francophone West African capitals (Abidjan, Bamako, Conakry and Dakar). The paper also uses statistical inference for testing stochastic dominance relationship between curves, a technique already applied in the literature about equity in taxation, as the criterion for making rigorous inequality comparisons. In all four capitals, the results strongly suggest a regressive pattern of payments for health care, with lower income groups bearing an higher burden of health expenditures as a proportion of their income than do the higher income segments of the population. As soon as dominance between concentrations curves is statistically tested, results appear less conclusive, notably for the groups of population affected by severe morbidity, on the issue of horizontal inequity in health care delivery, which requires that persons with similar medical need be treated equally. Some recommendations are made for the use of equity measurements in access to care for future evaluations of the impact of health care reforms in Africa. ?? 2006 Elsevier Ireland Ltd. All rights reserved.", "author" : [ { "dropping-particle" : "", "family" : "Ciss\u00e9", "given" : "Boubou", "non-dropping-particle" : "", "parse-names" : false, "suffix" : "" }, { "dropping-particle" : "", "family" : "Luchini", "given" : "St\u00e9phane", "non-dropping-particle" : "", "parse-names" : false, "suffix" : "" }, { "dropping-particle" : "", "family" : "Moatti", "given" : "Jean Paul", "non-dropping-particle" : "", "parse-names" : false, "suffix" : "" } ], "container-title" : "Health Policy", "id" : "ITEM-1", "issue" : "1", "issued" : { "date-parts" : [ [ "2007" ] ] }, "page" : "51-68", "title" : "Progressivity and horizontal equity in health care finance and delivery: What about Africa?", "type" : "article-journal", "volume" : "80" }, "uris" : [ "http://www.mendeley.com/documents/?uuid=8750c47c-b204-4525-83b6-ccf6493743aa" ] } ], "mendeley" : { "formattedCitation" : "(Ciss\u00e9 et al., 2007)", "plainTextFormattedCitation" : "(Ciss\u00e9 et al., 2007)", "previouslyFormattedCitation" : "(Ciss\u00e9 et al., 2007)" }, "properties" : {  }, "schema" : "https://github.com/citation-style-language/schema/raw/master/csl-citation.json" }</w:instrText>
      </w:r>
      <w:r>
        <w:fldChar w:fldCharType="separate"/>
      </w:r>
      <w:bookmarkStart w:id="130" w:name="__Fieldmark__993_513475976"/>
      <w:r>
        <w:rPr>
          <w:rFonts w:ascii="Calibri" w:hAnsi="Calibri" w:asciiTheme="majorHAnsi" w:hAnsiTheme="majorHAnsi"/>
          <w:lang w:val="en-GB"/>
        </w:rPr>
        <w:t>(</w:t>
      </w:r>
      <w:bookmarkStart w:id="131" w:name="__Fieldmark__3352_903549581"/>
      <w:r>
        <w:rPr>
          <w:rFonts w:ascii="Calibri" w:hAnsi="Calibri" w:asciiTheme="majorHAnsi" w:hAnsiTheme="majorHAnsi"/>
          <w:lang w:val="en-GB"/>
        </w:rPr>
        <w:t>Cissé et al., 2007)</w:t>
      </w:r>
      <w:r>
        <w:rPr>
          <w:rFonts w:ascii="Calibri" w:hAnsi="Calibri" w:asciiTheme="majorHAnsi" w:hAnsiTheme="majorHAnsi"/>
          <w:lang w:val="en-GB"/>
        </w:rPr>
      </w:r>
      <w:r>
        <w:fldChar w:fldCharType="end"/>
      </w:r>
      <w:bookmarkEnd w:id="130"/>
      <w:bookmarkEnd w:id="131"/>
      <w:r>
        <w:rPr>
          <w:rFonts w:ascii="Calibri" w:hAnsi="Calibri" w:asciiTheme="majorHAnsi" w:hAnsiTheme="majorHAnsi"/>
          <w:lang w:val="en-GB"/>
        </w:rPr>
        <w:t xml:space="preserve">. Poor households usually incur significant out-of-pocket expenditures in healthcare utilisation, leading to regressive health system financing. Despite most economic evaluations disregard incorporating equity issues </w:t>
      </w:r>
      <w:r>
        <w:fldChar w:fldCharType="begin"/>
      </w:r>
      <w:r>
        <w:instrText>ADDIN CSL_CITATION { "citationItems" : [ { "id" : "ITEM-1", "itemData" : { "author" : [ { "dropping-particle" : "", "family" : "Johri", "given" : "Mira", "non-dropping-particle" : "", "parse-names" : false, "suffix" : "" }, { "dropping-particle" : "", "family" : "Norheim", "given" : "Ole Frithjof", "non-dropping-particle" : "", "parse-names" : false, "suffix" : "" } ], "container-title" : "International Journal of Technology Assessment in Health Care", "id" : "ITEM-1", "issue" : "02", "issued" : { "date-parts" : [ [ "2012" ] ] }, "page" : "125-132", "title" : "Can Cost-effectiveness analysis integrate concerns for equity? Systematic review", "type" : "article-journal", "volume" : "28" }, "uris" : [ "http://www.mendeley.com/documents/?uuid=b58974f6-fd5f-4687-9b61-16d4b22368b0" ] }, { "id" : "ITEM-2", "itemData" : { "DOI" : "10.1016/j.jval.2016.11.027", "ISSN" : "1524-4733", "PMID" : "28237196", "abstract" : "This articles serves as a guide to using cost-effectiveness analysis (CEA) to address health equity concerns. We first introduce the \"equity impact plane,\" a tool for considering trade-offs between improving total health-the objective underpinning conventional CEA-and equity objectives, such as reducing social inequality in health or prioritizing the severely ill. Improving total health may clash with reducing social inequality in health, for example, when effective delivery of services to disadvantaged communities requires additional costs. Who gains and who loses from a cost-increasing health program depends on differences among people in terms of health risks, uptake, quality, adherence, capacity to benefit, and-crucially-who bears the opportunity costs of diverting scarce resources from other uses. We describe two main ways of using CEA to address health equity concerns: 1) equity impact analysis, which quantifies the distribution of costs and effects by equity-relevant variables, such as socioeconomic status, location, ethnicity, sex, and severity of illness; and 2) equity trade-off analysis, which quantifies trade-offs between improving total health and other equity objectives. One way to analyze equity trade-offs is to count the cost of fairer but less cost-effective options in terms of health forgone. Another method is to explore how much concern for equity is required to choose fairer but less cost-effective options using equity weights or parameters. We hope this article will help the health technology assessment community navigate the practical options now available for conducting equity-informative CEA that gives policymakers a better understanding of equity impacts and trade-offs.", "author" : [ { "dropping-particle" : "", "family" : "Cookson", "given" : "Richard", "non-dropping-particle" : "", "parse-names" : false, "suffix" : "" }, { "dropping-particle" : "", "family" : "Mirelman", "given" : "Andrew J", "non-dropping-particle" : "", "parse-names" : false, "suffix" : "" }, { "dropping-particle" : "", "family" : "Griffin", "given" : "Susan", "non-dropping-particle" : "", "parse-names" : false, "suffix" : "" }, { "dropping-particle" : "", "family" : "Asaria", "given" : "Miqdad", "non-dropping-particle" : "", "parse-names" : false, "suffix" : "" }, { "dropping-particle" : "", "family" : "Dawkins", "given" : "Bryony", "non-dropping-particle" : "", "parse-names" : false, "suffix" : "" }, { "dropping-particle" : "", "family" : "Norheim", "given" : "Ole Frithjof", "non-dropping-particle" : "", "parse-names" : false, "suffix" : "" }, { "dropping-particle" : "", "family" : "Verguet", "given" : "St\u00e9phane", "non-dropping-particle" : "", "parse-names" : false, "suffix" : "" }, { "dropping-particle" : "", "family" : "J Culyer", "given" : "Anthony", "non-dropping-particle" : "", "parse-names" : false, "suffix" : "" } ], "container-title" : "Value in health", "id" : "ITEM-2", "issue" : "2", "issued" : { "date-parts" : [ [ "2017", "2" ] ] }, "page" : "206-212", "publisher" : "Elsevier", "title" : "Using Cost-Effectiveness Analysis to Address Health Equity Concerns.", "type" : "article-journal", "volume" : "20" }, "uris" : [ "http://www.mendeley.com/documents/?uuid=6fbf6b85-0170-362e-b365-4c43fd2b7316" ] } ], "mendeley" : { "formattedCitation" : "(Johri and Norheim, 2012; Cookson et al., 2017)", "plainTextFormattedCitation" : "(Johri and Norheim, 2012; Cookson et al., 2017)", "previouslyFormattedCitation" : "(Johri and Norheim, 2012; Cookson et al., 2017)" }, "properties" : {  }, "schema" : "https://github.com/citation-style-language/schema/raw/master/csl-citation.json" }</w:instrText>
      </w:r>
      <w:r>
        <w:fldChar w:fldCharType="separate"/>
      </w:r>
      <w:bookmarkStart w:id="132" w:name="__Fieldmark__1000_513475976"/>
      <w:r>
        <w:rPr>
          <w:rFonts w:ascii="Calibri" w:hAnsi="Calibri" w:asciiTheme="majorHAnsi" w:hAnsiTheme="majorHAnsi"/>
          <w:lang w:val="en-GB"/>
        </w:rPr>
        <w:t>(</w:t>
      </w:r>
      <w:bookmarkStart w:id="133" w:name="__Fieldmark__3366_903549581"/>
      <w:r>
        <w:rPr>
          <w:rFonts w:ascii="Calibri" w:hAnsi="Calibri" w:asciiTheme="majorHAnsi" w:hAnsiTheme="majorHAnsi"/>
          <w:lang w:val="en-GB"/>
        </w:rPr>
        <w:t>Johri and Norheim, 2012; Cookson et al., 2017)</w:t>
      </w:r>
      <w:r>
        <w:rPr>
          <w:rFonts w:ascii="Calibri" w:hAnsi="Calibri" w:asciiTheme="majorHAnsi" w:hAnsiTheme="majorHAnsi"/>
          <w:lang w:val="en-GB"/>
        </w:rPr>
      </w:r>
      <w:r>
        <w:fldChar w:fldCharType="end"/>
      </w:r>
      <w:bookmarkEnd w:id="132"/>
      <w:bookmarkEnd w:id="133"/>
      <w:r>
        <w:rPr>
          <w:rFonts w:ascii="Calibri" w:hAnsi="Calibri" w:asciiTheme="majorHAnsi" w:hAnsiTheme="majorHAnsi"/>
          <w:lang w:val="en-GB"/>
        </w:rPr>
        <w:t xml:space="preserve">, health economics is able to identify inequities in the healthcare delivery and health system financing, which may be useful to improve the health status of the most vulnerable individuals, and establish fairer payment contributions to healthcare according to ability-to-pay of individuals.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All in all, since </w:t>
      </w:r>
      <w:del w:id="143" w:author="Unknown Author" w:date="2018-04-12T11:02:00Z">
        <w:r>
          <w:rPr>
            <w:rFonts w:ascii="Calibri" w:hAnsi="Calibri" w:asciiTheme="majorHAnsi" w:hAnsiTheme="majorHAnsi"/>
            <w:lang w:val="en-GB"/>
          </w:rPr>
          <w:delText>more</w:delText>
        </w:r>
      </w:del>
      <w:ins w:id="144" w:author="Unknown Author" w:date="2018-04-12T11:02:00Z">
        <w:r>
          <w:rPr>
            <w:rFonts w:ascii="Calibri" w:hAnsi="Calibri" w:asciiTheme="majorHAnsi" w:hAnsiTheme="majorHAnsi"/>
            <w:lang w:val="en-GB"/>
          </w:rPr>
          <w:t>most</w:t>
        </w:r>
      </w:ins>
      <w:r>
        <w:rPr>
          <w:rFonts w:ascii="Calibri" w:hAnsi="Calibri" w:asciiTheme="majorHAnsi" w:hAnsiTheme="majorHAnsi"/>
          <w:lang w:val="en-GB"/>
        </w:rPr>
        <w:t xml:space="preserve"> of the global infectious disease</w:t>
      </w:r>
      <w:del w:id="145" w:author="Unknown Author" w:date="2018-04-12T11:02:00Z">
        <w:r>
          <w:rPr>
            <w:rFonts w:ascii="Calibri" w:hAnsi="Calibri" w:asciiTheme="majorHAnsi" w:hAnsiTheme="majorHAnsi"/>
            <w:lang w:val="en-GB"/>
          </w:rPr>
          <w:delText>s</w:delText>
        </w:r>
      </w:del>
      <w:r>
        <w:rPr>
          <w:rFonts w:ascii="Calibri" w:hAnsi="Calibri" w:asciiTheme="majorHAnsi" w:hAnsiTheme="majorHAnsi"/>
          <w:lang w:val="en-GB"/>
        </w:rPr>
        <w:t xml:space="preserve"> burden is concentrated in LICs, especially in Sub-Saharan Africa, health economics studies are essential to understand how these countries can strengthen their health systems by (1) improving access to effective interventions that will reduce the disease burden and thus, reduce the associated societal costs and (2) making them more financially sustainable by applying user-fees to accessing healthcare according to individuals’ willingness- and ability-to-pay. Moreover, global health issues may imply international coordination in the control and eventual elimination of infectious diseases. Hence, more research is needed in terms of evaluating the implementation of more effective tools as well as the costs of elimination programmes, putting a special focus on equity to assure the more vulnerable will also receive benefits.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This thesis focuses on the contribution of economics to improve access to effective interventions targeting infectious diseases in the African continent </w:t>
      </w:r>
      <w:r>
        <w:fldChar w:fldCharType="begin"/>
      </w:r>
      <w:r>
        <w:instrText>ADDIN CSL_CITATION { "citationItems" : [ { "id" : "ITEM-1", "itemData" : { "ISBN" : "9780984091072", "author" : [ { "dropping-particle" : "", "family" : "Institute for Health Metrics and Evaluation and the International Centre for Humanitarian Affairs", "given" : "", "non-dropping-particle" : "", "parse-names" : false, "suffix" : "" } ], "id" : "ITEM-1", "issued" : { "date-parts" : [ [ "2016" ] ] }, "publisher" : "The World Bank", "title" : "The Global Burden of Disease Generating Evidence, Guiding Policy. Sub-Saharan Africa Regional Edition", "type" : "book" }, "uris" : [ "http://www.mendeley.com/documents/?uuid=5ed0833e-9c06-4aa6-aa92-00948ca61a86" ] }, { "id" : "ITEM-2", "itemData" : { "author" : [ { "dropping-particle" : "", "family" : "World Health Organization", "given" : "", "non-dropping-particle" : "", "parse-names" : false, "suffix" : "" } ], "id" : "ITEM-2", "issued" : { "date-parts" : [ [ "2010" ] ] }, "title" : "Working to overcome the global impact of neglected tropical diseases", "type" : "report" }, "uris" : [ "http://www.mendeley.com/documents/?uuid=9471d444-7f3f-4b89-aba8-7939f0607c74" ] } ], "mendeley" : { "formattedCitation" : "(Institute for Health Metrics and Evaluation and the International Centre for Humanitarian Affairs, 2016b; World Health Organization, 2010d)", "plainTextFormattedCitation" : "(Institute for Health Metrics and Evaluation and the International Centre for Humanitarian Affairs, 2016b; World Health Organization, 2010d)", "previouslyFormattedCitation" : "(Institute for Health Metrics and Evaluation and the International Centre for Humanitarian Affairs, 2016b; World Health Organization, 2010d)" }, "properties" : {  }, "schema" : "https://github.com/citation-style-language/schema/raw/master/csl-citation.json" }</w:instrText>
      </w:r>
      <w:r>
        <w:fldChar w:fldCharType="separate"/>
      </w:r>
      <w:bookmarkStart w:id="134" w:name="__Fieldmark__1010_513475976"/>
      <w:r>
        <w:rPr>
          <w:rFonts w:ascii="Calibri" w:hAnsi="Calibri" w:asciiTheme="majorHAnsi" w:hAnsiTheme="majorHAnsi"/>
          <w:lang w:val="en-GB"/>
        </w:rPr>
        <w:t>(</w:t>
      </w:r>
      <w:bookmarkStart w:id="135" w:name="__Fieldmark__3447_903549581"/>
      <w:r>
        <w:rPr>
          <w:rFonts w:ascii="Calibri" w:hAnsi="Calibri" w:asciiTheme="majorHAnsi" w:hAnsiTheme="majorHAnsi"/>
          <w:lang w:val="en-GB"/>
        </w:rPr>
        <w:t>Institute for Health Metrics and Evaluation and the International Centre for Humanitarian Affairs, 2016b; World Health Organization, 2010d)</w:t>
      </w:r>
      <w:r>
        <w:rPr>
          <w:rFonts w:ascii="Calibri" w:hAnsi="Calibri" w:asciiTheme="majorHAnsi" w:hAnsiTheme="majorHAnsi"/>
          <w:lang w:val="en-GB"/>
        </w:rPr>
      </w:r>
      <w:r>
        <w:fldChar w:fldCharType="end"/>
      </w:r>
      <w:bookmarkEnd w:id="134"/>
      <w:bookmarkEnd w:id="135"/>
      <w:r>
        <w:rPr>
          <w:rFonts w:ascii="Calibri" w:hAnsi="Calibri" w:asciiTheme="majorHAnsi" w:hAnsiTheme="majorHAnsi"/>
          <w:lang w:val="en-GB"/>
        </w:rPr>
        <w:t xml:space="preserve">. With a mean healthcare expenditure of 109 US$ per capita in 2005, half spent in the private sector </w:t>
      </w:r>
      <w:r>
        <w:fldChar w:fldCharType="begin"/>
      </w:r>
      <w:r>
        <w:instrText>ADDIN CSL_CITATION { "citationItems" : [ { "id" : "ITEM-1", "itemData" : { "DOI" : "10.1377/hlthaff.2014.0798", "author" : [ { "dropping-particle" : "", "family" : "Deaton", "given" : "Angus S.", "non-dropping-particle" : "", "parse-names" : false, "suffix" : "" }, { "dropping-particle" : "", "family" : "Tortora", "given" : "Robert", "non-dropping-particle" : "", "parse-names" : false, "suffix" : "" } ], "container-title" : "Health Aff (Millwood)", "id" : "ITEM-1", "issue" : "3", "issued" : { "date-parts" : [ [ "2015" ] ] }, "page" : "519-527", "title" : "People in Sub-Saharan Africa rate their health and health care among lowest in world", "type" : "article-journal", "volume" : "34" }, "uris" : [ "http://www.mendeley.com/documents/?uuid=7843d860-a97f-46c9-b788-7ae63cec95cb" ] } ], "mendeley" : { "formattedCitation" : "(Deaton and Tortora, 2015)", "plainTextFormattedCitation" : "(Deaton and Tortora, 2015)", "previouslyFormattedCitation" : "(Deaton and Tortora, 2015)" }, "properties" : {  }, "schema" : "https://github.com/citation-style-language/schema/raw/master/csl-citation.json" }</w:instrText>
      </w:r>
      <w:r>
        <w:fldChar w:fldCharType="separate"/>
      </w:r>
      <w:bookmarkStart w:id="136" w:name="__Fieldmark__1017_513475976"/>
      <w:r>
        <w:rPr>
          <w:rFonts w:ascii="Calibri" w:hAnsi="Calibri" w:asciiTheme="majorHAnsi" w:hAnsiTheme="majorHAnsi"/>
          <w:lang w:val="en-GB"/>
        </w:rPr>
        <w:t>(</w:t>
      </w:r>
      <w:bookmarkStart w:id="137" w:name="__Fieldmark__3458_903549581"/>
      <w:r>
        <w:rPr>
          <w:rFonts w:ascii="Calibri" w:hAnsi="Calibri" w:asciiTheme="majorHAnsi" w:hAnsiTheme="majorHAnsi"/>
          <w:lang w:val="en-GB"/>
        </w:rPr>
        <w:t>Deaton and Tortora, 2015)</w:t>
      </w:r>
      <w:r>
        <w:rPr>
          <w:rFonts w:ascii="Calibri" w:hAnsi="Calibri" w:asciiTheme="majorHAnsi" w:hAnsiTheme="majorHAnsi"/>
          <w:lang w:val="en-GB"/>
        </w:rPr>
      </w:r>
      <w:r>
        <w:fldChar w:fldCharType="end"/>
      </w:r>
      <w:bookmarkEnd w:id="136"/>
      <w:bookmarkEnd w:id="137"/>
      <w:r>
        <w:rPr>
          <w:rFonts w:ascii="Calibri" w:hAnsi="Calibri" w:asciiTheme="majorHAnsi" w:hAnsiTheme="majorHAnsi"/>
          <w:lang w:val="en-GB"/>
        </w:rPr>
        <w:t xml:space="preserve">, most of the African population cannot afford to invest against the most threatening public health issues. This is a common problem to the whole African continent, including Northern African countries, which spent in healthcare well below other non-African MICs (mean of 253 US$ per capita in North African and Middle Eastern LMICs in 2014) </w:t>
      </w:r>
      <w:r>
        <w:fldChar w:fldCharType="begin"/>
      </w:r>
      <w:r>
        <w:instrText>ADDIN CSL_CITATION { "citationItems" : [ { "id" : "ITEM-1", "itemData" : { "URL" : "https://data.worldbank.org/indicator/SH.XPD.PCAP", "author" : [ { "dropping-particle" : "", "family" : "The World Bank", "given" : "", "non-dropping-particle" : "", "parse-names" : false, "suffix" : "" } ], "id" : "ITEM-1", "issued" : { "date-parts" : [ [ "2017" ] ] }, "title" : "Health expenditure per capita (current US$)", "type" : "webpage" }, "uris" : [ "http://www.mendeley.com/documents/?uuid=495c6a85-b129-4e79-a0ce-7a0218d37e99" ] } ], "mendeley" : { "formattedCitation" : "(The World Bank, 2017c)", "plainTextFormattedCitation" : "(The World Bank, 2017c)", "previouslyFormattedCitation" : "(The World Bank, 2017c)" }, "properties" : {  }, "schema" : "https://github.com/citation-style-language/schema/raw/master/csl-citation.json" }</w:instrText>
      </w:r>
      <w:r>
        <w:fldChar w:fldCharType="separate"/>
      </w:r>
      <w:bookmarkStart w:id="138" w:name="__Fieldmark__1024_513475976"/>
      <w:r>
        <w:rPr>
          <w:rFonts w:ascii="Calibri" w:hAnsi="Calibri" w:asciiTheme="majorHAnsi" w:hAnsiTheme="majorHAnsi"/>
          <w:lang w:val="en-GB"/>
        </w:rPr>
        <w:t>(</w:t>
      </w:r>
      <w:bookmarkStart w:id="139" w:name="__Fieldmark__3491_903549581"/>
      <w:r>
        <w:rPr>
          <w:rFonts w:ascii="Calibri" w:hAnsi="Calibri" w:asciiTheme="majorHAnsi" w:hAnsiTheme="majorHAnsi"/>
          <w:lang w:val="en-GB"/>
        </w:rPr>
        <w:t>The World Bank, 2017c)</w:t>
      </w:r>
      <w:r>
        <w:rPr>
          <w:rFonts w:ascii="Calibri" w:hAnsi="Calibri" w:asciiTheme="majorHAnsi" w:hAnsiTheme="majorHAnsi"/>
          <w:lang w:val="en-GB"/>
        </w:rPr>
      </w:r>
      <w:r>
        <w:fldChar w:fldCharType="end"/>
      </w:r>
      <w:bookmarkEnd w:id="138"/>
      <w:bookmarkEnd w:id="1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Morocco, as other Northern African countries, is currently going through a major epidemiological transition, simultaneously achieving important milestones, such as the elimination of malaria certified in 2010 </w:t>
      </w:r>
      <w:r>
        <w:fldChar w:fldCharType="begin"/>
      </w:r>
      <w:r>
        <w:instrText>ADDIN CSL_CITATION { "citationItems" : [ { "id" : "ITEM-1", "itemData" : { "abstract" : "Review of seroepidemiological studies of 2009 A/H1N1 pandemic.", "author" : [ { "dropping-particle" : "", "family" : "World Health Organization", "given" : "", "non-dropping-particle" : "", "parse-names" : false, "suffix" : "" } ], "container-title" : "WHO Weekly epidemiological record", "id" : "ITEM-1", "issue" : "24", "issued" : { "date-parts" : [ [ "2010" ] ] }, "page" : "229-235", "title" : "Weekly epidemiological record", "type" : "article-journal", "volume" : "85" }, "uris" : [ "http://www.mendeley.com/documents/?uuid=5b85f91a-6500-4c3c-8fd1-fb9f2ab42864" ] } ], "mendeley" : { "formattedCitation" : "(World Health Organization, 2010c)", "plainTextFormattedCitation" : "(World Health Organization, 2010c)", "previouslyFormattedCitation" : "(World Health Organization, 2010c)" }, "properties" : {  }, "schema" : "https://github.com/citation-style-language/schema/raw/master/csl-citation.json" }</w:instrText>
      </w:r>
      <w:r>
        <w:fldChar w:fldCharType="separate"/>
      </w:r>
      <w:bookmarkStart w:id="140" w:name="__Fieldmark__1033_513475976"/>
      <w:r>
        <w:rPr>
          <w:rFonts w:ascii="Calibri" w:hAnsi="Calibri" w:asciiTheme="majorHAnsi" w:hAnsiTheme="majorHAnsi"/>
          <w:lang w:val="en-GB"/>
        </w:rPr>
        <w:t>(</w:t>
      </w:r>
      <w:bookmarkStart w:id="141" w:name="__Fieldmark__3500_903549581"/>
      <w:r>
        <w:rPr>
          <w:rFonts w:ascii="Calibri" w:hAnsi="Calibri" w:asciiTheme="majorHAnsi" w:hAnsiTheme="majorHAnsi"/>
          <w:lang w:val="en-GB"/>
        </w:rPr>
        <w:t>World Health Organization, 2010c)</w:t>
      </w:r>
      <w:r>
        <w:rPr>
          <w:rFonts w:ascii="Calibri" w:hAnsi="Calibri" w:asciiTheme="majorHAnsi" w:hAnsiTheme="majorHAnsi"/>
          <w:lang w:val="en-GB"/>
        </w:rPr>
      </w:r>
      <w:r>
        <w:fldChar w:fldCharType="end"/>
      </w:r>
      <w:bookmarkEnd w:id="140"/>
      <w:bookmarkEnd w:id="141"/>
      <w:r>
        <w:rPr>
          <w:rFonts w:ascii="Calibri" w:hAnsi="Calibri" w:asciiTheme="majorHAnsi" w:hAnsiTheme="majorHAnsi"/>
          <w:lang w:val="en-GB"/>
        </w:rPr>
        <w:t xml:space="preserve"> and facing new challenges, such as the increasing prevalence of diabetes, cancer or obesity </w:t>
      </w:r>
      <w:r>
        <w:fldChar w:fldCharType="begin"/>
      </w:r>
      <w:r>
        <w:instrText>ADDIN CSL_CITATION { "citationItems" : [ { "id" : "ITEM-1", "itemData" : { "abstract" : "Diabetes is a pandemic that continues to worry about Governments and health policy makers. It is ranked at the top of chronic diseases that threaten global health with 371 million cases reported by the International Federation of diabetes in 2012. A big percentage of diabetics (80%) exist in developing countries and Morocco is one among them. Diabetes care and medical treatment arrangement are among the several constraints to fight this pandemic in the world in general and the Morocco specifically. This paper is a review on the situation of diabetes in Morocco, its extent, evolution and its complications as well as the disease care and management.", "author" : [ { "dropping-particle" : "", "family" : "Dinar", "given" : "Youssef", "non-dropping-particle" : "", "parse-names" : false, "suffix" : "" }, { "dropping-particle" : "", "family" : "Belahsen", "given" : "Rekia", "non-dropping-particle" : "", "parse-names" : false, "suffix" : "" } ], "container-title" : "Journal of Scientific Research &amp; Reports", "id" : "ITEM-1", "issue" : "19", "issued" : { "date-parts" : [ [ "2014" ] ] }, "page" : "2477-2485", "title" : "Diabetes Mellitus in Morocco: Situation and Challenges of Diabetes Care", "type" : "article-journal", "volume" : "319" }, "uris" : [ "http://www.mendeley.com/documents/?uuid=420ddf22-ea12-32a3-8c1a-3b963d9985fd" ] }, { "id" : "ITEM-2", "itemData" : { "DOI" : "10.1186/1471-2407-14-695", "ISSN" : "1471-2407", "PMID" : "25245224", "abstract" : "BACKGROUND In Morocco, knowledge of cancer risk factors, a crucial element in the process of behavioral change, has never been evaluated. This study aims to provide information on the level of awareness of cancer risk factors among the Moroccan general population. METHODS A cross sectional survey was carried out in May 2008, using a stratified sampling method in a representative sample of the Moroccan adult population. The used questionnaire included social and demographic data as well as questions about 14 cancer related factors regarding passive or active smoking, alcoholic beverages, obesity, physical inactivity, food coloring, red meat, fat, salt, fruit, vegetables, olive oil, green tea, coffee, breast-feeding. Subjects had to choose between 3 propositions for each proposed factor (risk factor/Protective factor/Don't Know). The knowledge score was calculated by summing the correct answer for each proposed factor except coffee and food coloring. The answer was assigned 1 if it's correct or 0 if it was incorrect or the participant responded 'don't know. The maximum knowledge score was 12. Multivariate linear regression model was used to evaluate the determinants of knowledge score. RESULTS Among 2891 subjects who participated to the survey, 49.5% were men and 42% were from a rural area. The mean age was 41.6 \u00b1 15.2 years. The mean knowledge score of cancer related factors was 8.45 \u00b1 3.10 points. Knowledge score increased with educational level (\u03b2 = -0.65 if school year \u22646 versus &gt;6) and housing category (\u03b2 = 1.80 in high standing housing vs rural housing). It was also higher in urban area, among never smokers and among people never consuming alcohol compared to others groups. CONCLUSION These results provide valuable information necessary to establish relevant cancer prevention strategies in Morocco aiming to enhance and improve people's knowledge about risk factors especially in some target groups.", "author" : [ { "dropping-particle" : "", "family" : "Rhazi", "given" : "Karima", "non-dropping-particle" : "El", "parse-names" : false, "suffix" : "" }, { "dropping-particle" : "", "family" : "Bennani", "given" : "Bahia", "non-dropping-particle" : "", "parse-names" : false, "suffix" : "" }, { "dropping-particle" : "", "family" : "Fakir", "given" : "Samira", "non-dropping-particle" : "El", "parse-names" : false, "suffix" : "" }, { "dropping-particle" : "", "family" : "Boly", "given" : "Ahmadou", "non-dropping-particle" : "", "parse-names" : false, "suffix" : "" }, { "dropping-particle" : "", "family" : "Bekkali", "given" : "Rachid", "non-dropping-particle" : "", "parse-names" : false, "suffix" : "" }, { "dropping-particle" : "", "family" : "Zidouh", "given" : "Ahmed", "non-dropping-particle" : "", "parse-names" : false, "suffix" : "" }, { "dropping-particle" : "", "family" : "Nejjari", "given" : "Chakib", "non-dropping-particle" : "", "parse-names" : false, "suffix" : "" } ], "container-title" : "BMC cancer", "id" : "ITEM-2", "issued" : { "date-parts" : [ [ "2014", "9", "23" ] ] }, "page" : "695", "publisher" : "BioMed Central", "title" : "Public awareness of cancer risk factors in the Moroccan population: a population-based cross-sectional study.", "type" : "article-journal", "volume" : "14" }, "uris" : [ "http://www.mendeley.com/documents/?uuid=092e7523-e8e2-32a5-bb7e-60d56b8579fa" ] }, { "id" : "ITEM-3", "itemData" : { "DOI" : "10.1111/j.1467-789X.2006.00260.x", "ISSN" : "1467-7881", "PMID" : "17212791", "abstract" : "Data on measured heights and weights indicate that the prevalence of obesity has increased among Moroccan population over the past 15 years. In 1984/1985, 4.1% of the adult population was obese, and the prevalence increased to 10.3% in 1998/1999. In the most recent survey in the year 2000, 13.3% of individuals aged 20 years and more were obese (22% among women and 8% among men). Excessive weight is more prevalent in urban than in rural areas, varies by geographical residence, positively associated with age and negatively with education level. The increasing prevalence of obesity poses challenges for researchers and policy makers.", "author" : [ { "dropping-particle" : "", "family" : "Rguibi", "given" : "M.", "non-dropping-particle" : "", "parse-names" : false, "suffix" : "" }, { "dropping-particle" : "", "family" : "Belahsen", "given" : "R.", "non-dropping-particle" : "", "parse-names" : false, "suffix" : "" } ], "container-title" : "Obesity Reviews", "id" : "ITEM-3", "issue" : "1", "issued" : { "date-parts" : [ [ "2007", "1" ] ] }, "page" : "11-13", "title" : "Prevalence of obesity in Morocco", "type" : "article-journal", "volume" : "8" }, "uris" : [ "http://www.mendeley.com/documents/?uuid=548290e9-526b-312b-8935-596703f7e8a5" ] } ], "mendeley" : { "formattedCitation" : "(Dinar and Belahsen, 2014; El Rhazi et al., 2014; Rguibi and Belahsen, 2007)", "plainTextFormattedCitation" : "(Dinar and Belahsen, 2014; El Rhazi et al., 2014; Rguibi and Belahsen, 2007)", "previouslyFormattedCitation" : "(Dinar and Belahsen, 2014; El Rhazi et al., 2014; Rguibi and Belahsen, 2007)" }, "properties" : {  }, "schema" : "https://github.com/citation-style-language/schema/raw/master/csl-citation.json" }</w:instrText>
      </w:r>
      <w:r>
        <w:fldChar w:fldCharType="separate"/>
      </w:r>
      <w:bookmarkStart w:id="142" w:name="__Fieldmark__1040_513475976"/>
      <w:r>
        <w:rPr>
          <w:rFonts w:ascii="Calibri" w:hAnsi="Calibri" w:asciiTheme="majorHAnsi" w:hAnsiTheme="majorHAnsi"/>
          <w:lang w:val="en-GB"/>
        </w:rPr>
        <w:t>(</w:t>
      </w:r>
      <w:bookmarkStart w:id="143" w:name="__Fieldmark__3505_903549581"/>
      <w:r>
        <w:rPr>
          <w:rFonts w:ascii="Calibri" w:hAnsi="Calibri" w:asciiTheme="majorHAnsi" w:hAnsiTheme="majorHAnsi"/>
          <w:lang w:val="en-GB"/>
        </w:rPr>
        <w:t>Dinar and Belahsen, 2014; El Rhazi et al., 2014; Rguibi and Belahsen, 2007)</w:t>
      </w:r>
      <w:r>
        <w:rPr>
          <w:rFonts w:ascii="Calibri" w:hAnsi="Calibri" w:asciiTheme="majorHAnsi" w:hAnsiTheme="majorHAnsi"/>
          <w:lang w:val="en-GB"/>
        </w:rPr>
      </w:r>
      <w:r>
        <w:fldChar w:fldCharType="end"/>
      </w:r>
      <w:bookmarkEnd w:id="142"/>
      <w:bookmarkEnd w:id="143"/>
      <w:r>
        <w:rPr>
          <w:rFonts w:ascii="Calibri" w:hAnsi="Calibri" w:asciiTheme="majorHAnsi" w:hAnsiTheme="majorHAnsi"/>
          <w:lang w:val="en-GB"/>
        </w:rPr>
        <w:t xml:space="preserve">. However, Morocco is still facing a high NTDs burden, constituted by leishmaniasis among other NTDs </w:t>
      </w:r>
      <w:r>
        <w:fldChar w:fldCharType="begin"/>
      </w:r>
      <w:r>
        <w:instrText>ADDIN CSL_CITATION { "citationItems" : [ { "id" : "ITEM-1", "itemData" : { "DOI" : "10.1371/journal.pntd.0001475", "ISSN" : "1935-2735", "author" : [ { "dropping-particle" : "", "family" : "Hotez", "given" : "Peter J.", "non-dropping-particle" : "", "parse-names" : false, "suffix" : "" }, { "dropping-particle" : "", "family" : "Savioli", "given" : "Lorenzo", "non-dropping-particle" : "", "parse-names" : false, "suffix" : "" }, { "dropping-particle" : "", "family" : "Fenwick", "given" : "Alan", "non-dropping-particle" : "", "parse-names" : false, "suffix" : "" } ], "container-title" : "PLoS Neglected Tropical Diseases", "editor" : [ { "dropping-particle" : "", "family" : "Aksoy", "given" : "Serap", "non-dropping-particle" : "", "parse-names" : false, "suffix" : "" } ], "id" : "ITEM-1", "issue" : "2", "issued" : { "date-parts" : [ [ "2012", "2", "28" ] ] }, "page" : "e1475", "publisher" : "Public Library of Science", "title" : "Neglected Tropical Diseases of the Middle East and North Africa: Review of Their Prevalence, Distribution, and Opportunities for Control", "type" : "article-journal", "volume" : "6" }, "uris" : [ "http://www.mendeley.com/documents/?uuid=18294f7e-70ca-396f-9187-53a0613e5cf5" ] } ], "mendeley" : { "formattedCitation" : "(Hotez et al., 2012)", "plainTextFormattedCitation" : "(Hotez et al., 2012)", "previouslyFormattedCitation" : "(Hotez et al., 2012)" }, "properties" : {  }, "schema" : "https://github.com/citation-style-language/schema/raw/master/csl-citation.json" }</w:instrText>
      </w:r>
      <w:r>
        <w:fldChar w:fldCharType="separate"/>
      </w:r>
      <w:bookmarkStart w:id="144" w:name="__Fieldmark__1047_513475976"/>
      <w:r>
        <w:rPr>
          <w:rFonts w:ascii="Calibri" w:hAnsi="Calibri" w:asciiTheme="majorHAnsi" w:hAnsiTheme="majorHAnsi"/>
          <w:lang w:val="en-GB"/>
        </w:rPr>
        <w:t>(</w:t>
      </w:r>
      <w:bookmarkStart w:id="145" w:name="__Fieldmark__3520_903549581"/>
      <w:r>
        <w:rPr>
          <w:rFonts w:ascii="Calibri" w:hAnsi="Calibri" w:asciiTheme="majorHAnsi" w:hAnsiTheme="majorHAnsi"/>
          <w:lang w:val="en-GB"/>
        </w:rPr>
        <w:t>Hotez et al., 2012)</w:t>
      </w:r>
      <w:r>
        <w:rPr>
          <w:rFonts w:ascii="Calibri" w:hAnsi="Calibri" w:asciiTheme="majorHAnsi" w:hAnsiTheme="majorHAnsi"/>
          <w:lang w:val="en-GB"/>
        </w:rPr>
      </w:r>
      <w:r>
        <w:fldChar w:fldCharType="end"/>
      </w:r>
      <w:bookmarkEnd w:id="144"/>
      <w:bookmarkEnd w:id="145"/>
      <w:r>
        <w:rPr>
          <w:rFonts w:ascii="Calibri" w:hAnsi="Calibri" w:asciiTheme="majorHAnsi" w:hAnsiTheme="majorHAnsi"/>
          <w:lang w:val="en-GB"/>
        </w:rPr>
        <w:t xml:space="preserve">. On the contrary, in Mozambique and most of the Sub-Saharan African countries, infectious diseases still shape the greatest disease burden. In 2016 malaria was the second cause of premature deaths in Mozambique after HIV/AIDS </w:t>
      </w:r>
      <w:r>
        <w:fldChar w:fldCharType="begin"/>
      </w:r>
      <w:r>
        <w:instrText>ADDIN CSL_CITATION { "citationItems" : [ { "id" : "ITEM-1", "itemData" : { "URL" : "http://www.healthdata.org/mozambique", "author" : [ { "dropping-particle" : "", "family" : "Institute for Health Metrics and Evaluation", "given" : "", "non-dropping-particle" : "", "parse-names" : false, "suffix" : "" } ], "id" : "ITEM-1", "issued" : { "date-parts" : [ [ "2016" ] ] }, "title" : "Mozambique Profile", "type" : "webpage" }, "uris" : [ "http://www.mendeley.com/documents/?uuid=804fc651-1994-4137-bb9a-b8c435e2c0b0" ] } ], "mendeley" : { "formattedCitation" : "(Institute for Health Metrics and Evaluation, 2016)", "plainTextFormattedCitation" : "(Institute for Health Metrics and Evaluation, 2016)", "previouslyFormattedCitation" : "(Institute for Health Metrics and Evaluation, 2016)" }, "properties" : {  }, "schema" : "https://github.com/citation-style-language/schema/raw/master/csl-citation.json" }</w:instrText>
      </w:r>
      <w:r>
        <w:fldChar w:fldCharType="separate"/>
      </w:r>
      <w:bookmarkStart w:id="146" w:name="__Fieldmark__1054_513475976"/>
      <w:r>
        <w:rPr>
          <w:rFonts w:ascii="Calibri" w:hAnsi="Calibri" w:asciiTheme="majorHAnsi" w:hAnsiTheme="majorHAnsi"/>
          <w:lang w:val="en-GB"/>
        </w:rPr>
        <w:t>(</w:t>
      </w:r>
      <w:bookmarkStart w:id="147" w:name="__Fieldmark__3540_903549581"/>
      <w:r>
        <w:rPr>
          <w:rFonts w:ascii="Calibri" w:hAnsi="Calibri" w:asciiTheme="majorHAnsi" w:hAnsiTheme="majorHAnsi"/>
          <w:lang w:val="en-GB"/>
        </w:rPr>
        <w:t>Institute for Health Metrics and Evaluation, 2016)</w:t>
      </w:r>
      <w:r>
        <w:rPr>
          <w:rFonts w:ascii="Calibri" w:hAnsi="Calibri" w:asciiTheme="majorHAnsi" w:hAnsiTheme="majorHAnsi"/>
          <w:lang w:val="en-GB"/>
        </w:rPr>
      </w:r>
      <w:r>
        <w:fldChar w:fldCharType="end"/>
      </w:r>
      <w:bookmarkEnd w:id="146"/>
      <w:bookmarkEnd w:id="147"/>
      <w:r>
        <w:rPr>
          <w:rFonts w:ascii="Calibri" w:hAnsi="Calibri" w:asciiTheme="majorHAnsi" w:hAnsiTheme="majorHAnsi"/>
          <w:lang w:val="en-GB"/>
        </w:rPr>
        <w:t xml:space="preserve">. Cervical cancer, which is mainly caused by HPV infection, was the most prevalent cancer in women in the country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148" w:name="__Fieldmark__1061_513475976"/>
      <w:r>
        <w:rPr>
          <w:rFonts w:ascii="Calibri" w:hAnsi="Calibri" w:asciiTheme="majorHAnsi" w:hAnsiTheme="majorHAnsi"/>
          <w:lang w:val="en-GB"/>
        </w:rPr>
        <w:t>(</w:t>
      </w:r>
      <w:bookmarkStart w:id="149" w:name="__Fieldmark__3549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148"/>
      <w:bookmarkEnd w:id="149"/>
      <w:r>
        <w:rPr>
          <w:rFonts w:ascii="Calibri" w:hAnsi="Calibri" w:asciiTheme="majorHAnsi" w:hAnsiTheme="majorHAnsi"/>
          <w:lang w:val="en-GB"/>
        </w:rPr>
        <w:t>. Morocco and Mozambique are different countries in terms of culture, wealth, health system</w:t>
      </w:r>
      <w:ins w:id="146" w:author="Unknown Author" w:date="2018-04-12T11:04:00Z">
        <w:r>
          <w:rPr>
            <w:rFonts w:ascii="Calibri" w:hAnsi="Calibri" w:asciiTheme="majorHAnsi" w:hAnsiTheme="majorHAnsi"/>
            <w:lang w:val="en-GB"/>
          </w:rPr>
          <w:t>s</w:t>
        </w:r>
      </w:ins>
      <w:r>
        <w:rPr>
          <w:rFonts w:ascii="Calibri" w:hAnsi="Calibri" w:asciiTheme="majorHAnsi" w:hAnsiTheme="majorHAnsi"/>
          <w:lang w:val="en-GB"/>
        </w:rPr>
        <w:t xml:space="preserve"> and public health challenges, but they represent well the current heterogeneous epidemiological situation of LMICs: while Mozambique’s efforts are still aiming at the control of infectious diseases such as HIV/AIDS, malaria or tuberculosis</w:t>
      </w:r>
      <w:del w:id="147" w:author="Unknown Author" w:date="2018-04-12T11:04:00Z">
        <w:r>
          <w:rPr>
            <w:rFonts w:ascii="Calibri" w:hAnsi="Calibri" w:asciiTheme="majorHAnsi" w:hAnsiTheme="majorHAnsi"/>
            <w:lang w:val="en-GB"/>
          </w:rPr>
          <w:delText>;</w:delText>
        </w:r>
      </w:del>
      <w:ins w:id="148" w:author="Unknown Author" w:date="2018-04-12T11:04:00Z">
        <w:r>
          <w:rPr>
            <w:rFonts w:ascii="Calibri" w:hAnsi="Calibri" w:asciiTheme="majorHAnsi" w:hAnsiTheme="majorHAnsi"/>
            <w:lang w:val="en-GB"/>
          </w:rPr>
          <w:t>,</w:t>
        </w:r>
      </w:ins>
      <w:r>
        <w:rPr>
          <w:rFonts w:ascii="Calibri" w:hAnsi="Calibri" w:asciiTheme="majorHAnsi" w:hAnsiTheme="majorHAnsi"/>
          <w:lang w:val="en-GB"/>
        </w:rPr>
        <w:t xml:space="preserve"> Morocco’s </w:t>
      </w:r>
      <w:del w:id="149" w:author="Unknown Author" w:date="2018-04-12T11:04:00Z">
        <w:r>
          <w:rPr>
            <w:rFonts w:ascii="Calibri" w:hAnsi="Calibri" w:asciiTheme="majorHAnsi" w:hAnsiTheme="majorHAnsi"/>
            <w:lang w:val="en-GB"/>
          </w:rPr>
          <w:delText>burden and financial efforts</w:delText>
        </w:r>
      </w:del>
      <w:r>
        <w:rPr>
          <w:rFonts w:ascii="Calibri" w:hAnsi="Calibri" w:asciiTheme="majorHAnsi" w:hAnsiTheme="majorHAnsi"/>
          <w:lang w:val="en-GB"/>
        </w:rPr>
        <w:t xml:space="preserve"> are recently focusing on non-communicable diseases, which imply diminishing investments against NTDs that are still prevalent among the poorest. Despite such differences, they both face similar challenges in the access to effective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This thesis follows an economic approach to describe the </w:t>
      </w:r>
      <w:r>
        <w:rPr>
          <w:rFonts w:ascii="Calibri" w:hAnsi="Calibri" w:asciiTheme="majorHAnsi" w:hAnsiTheme="majorHAnsi"/>
          <w:i/>
          <w:lang w:val="en-GB"/>
        </w:rPr>
        <w:t>status quo</w:t>
      </w:r>
      <w:r>
        <w:rPr>
          <w:rFonts w:ascii="Calibri" w:hAnsi="Calibri" w:asciiTheme="majorHAnsi" w:hAnsiTheme="majorHAnsi"/>
          <w:lang w:val="en-GB"/>
        </w:rPr>
        <w:t xml:space="preserve"> and to evaluate the introduction of effective interventions to improve access to diagnosis, treatment or prevention of: (1) visceral leishmaniasis (VL) in Morocco, (2) malaria in Mozambique and (3) Human Papillomavirus (HPV) in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150" w:name="_Toc382138184"/>
      <w:bookmarkEnd w:id="150"/>
      <w:r>
        <w:rPr>
          <w:lang w:val="en-GB"/>
        </w:rPr>
        <w:t>3. Visceral Leishmaniasis (VL)</w:t>
      </w:r>
    </w:p>
    <w:p>
      <w:pPr>
        <w:pStyle w:val="Normal"/>
        <w:spacing w:lineRule="auto" w:line="360"/>
        <w:rPr/>
      </w:pPr>
      <w:r>
        <w:rPr>
          <w:rFonts w:ascii="Calibri" w:hAnsi="Calibri" w:asciiTheme="majorHAnsi" w:hAnsiTheme="majorHAnsi"/>
          <w:lang w:val="en-GB"/>
        </w:rPr>
        <w:t xml:space="preserve">VL, also known as kala-azar, is an NTD caused by protozoan parasites from </w:t>
      </w:r>
      <w:r>
        <w:rPr>
          <w:rFonts w:ascii="Calibri" w:hAnsi="Calibri" w:asciiTheme="majorHAnsi" w:hAnsiTheme="majorHAnsi"/>
          <w:i/>
          <w:lang w:val="en-GB"/>
        </w:rPr>
        <w:t>Leishmania</w:t>
      </w:r>
      <w:r>
        <w:rPr>
          <w:rFonts w:ascii="Calibri" w:hAnsi="Calibri" w:asciiTheme="majorHAnsi" w:hAnsiTheme="majorHAnsi"/>
          <w:lang w:val="en-GB"/>
        </w:rPr>
        <w:t xml:space="preserve"> species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1" w:name="__Fieldmark__1079_513475976"/>
      <w:r>
        <w:rPr>
          <w:rFonts w:ascii="Calibri" w:hAnsi="Calibri" w:asciiTheme="majorHAnsi" w:hAnsiTheme="majorHAnsi"/>
          <w:lang w:val="en-GB"/>
        </w:rPr>
        <w:t>(</w:t>
      </w:r>
      <w:bookmarkStart w:id="152" w:name="__Fieldmark__3625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1"/>
      <w:bookmarkEnd w:id="152"/>
      <w:r>
        <w:rPr>
          <w:rFonts w:ascii="Calibri" w:hAnsi="Calibri" w:asciiTheme="majorHAnsi" w:hAnsiTheme="majorHAnsi"/>
          <w:lang w:val="en-GB"/>
        </w:rPr>
        <w:t>. Transmitted to humans by sand flies, it is endemic in the Mediterranean Basin, Latin America, East Africa, the Middle East and Central, South and Southeast Asia (</w:t>
      </w:r>
      <w:r>
        <w:rPr>
          <w:rFonts w:ascii="Calibri" w:hAnsi="Calibri" w:asciiTheme="majorHAnsi" w:hAnsiTheme="majorHAnsi"/>
          <w:b/>
          <w:lang w:val="en-GB"/>
        </w:rPr>
        <w:t>Figure 4</w:t>
      </w:r>
      <w:r>
        <w:rPr>
          <w:rFonts w:ascii="Calibri" w:hAnsi="Calibri" w:asciiTheme="majorHAnsi" w:hAnsiTheme="majorHAnsi"/>
          <w:lang w:val="en-GB"/>
        </w:rPr>
        <w:t xml:space="preserve">), where 58,227 cases a year are reported and 202,200 to 389,100 is the estimated annual incidence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53" w:name="__Fieldmark__1088_513475976"/>
      <w:r>
        <w:rPr>
          <w:rFonts w:ascii="Calibri" w:hAnsi="Calibri" w:asciiTheme="majorHAnsi" w:hAnsiTheme="majorHAnsi"/>
          <w:lang w:val="en-GB"/>
        </w:rPr>
        <w:t>(</w:t>
      </w:r>
      <w:bookmarkStart w:id="154" w:name="__Fieldmark__3653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53"/>
      <w:bookmarkEnd w:id="154"/>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4. Status of endemicity of visceral leishmaniasis worldwide,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81190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7"/>
                          <a:stretch>
                            <a:fillRect/>
                          </a:stretch>
                        </pic:blipFill>
                        <pic:spPr bwMode="auto">
                          <a:xfrm>
                            <a:off x="0" y="0"/>
                            <a:ext cx="5396230" cy="381190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World Health Organisation.</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incubation period of VL highly varies from 2 weeks to 18 months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5" w:name="__Fieldmark__1108_513475976"/>
      <w:r>
        <w:rPr>
          <w:rFonts w:ascii="Calibri" w:hAnsi="Calibri" w:asciiTheme="majorHAnsi" w:hAnsiTheme="majorHAnsi"/>
          <w:lang w:val="en-GB"/>
        </w:rPr>
        <w:t>(</w:t>
      </w:r>
      <w:bookmarkStart w:id="156" w:name="__Fieldmark__3673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5"/>
      <w:bookmarkEnd w:id="156"/>
      <w:r>
        <w:rPr>
          <w:rFonts w:ascii="Calibri" w:hAnsi="Calibri" w:asciiTheme="majorHAnsi" w:hAnsiTheme="majorHAnsi"/>
          <w:lang w:val="en-GB"/>
        </w:rPr>
        <w:t xml:space="preserve">. VL is characterised by fever, weight loss, swelling of the spleen and liver, and anaemia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157" w:name="__Fieldmark__1115_513475976"/>
      <w:r>
        <w:rPr>
          <w:rFonts w:ascii="Calibri" w:hAnsi="Calibri" w:asciiTheme="majorHAnsi" w:hAnsiTheme="majorHAnsi"/>
          <w:lang w:val="en-GB"/>
        </w:rPr>
        <w:t>(</w:t>
      </w:r>
      <w:bookmarkStart w:id="158" w:name="__Fieldmark__3680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157"/>
      <w:bookmarkEnd w:id="158"/>
      <w:r>
        <w:rPr>
          <w:rFonts w:ascii="Calibri" w:hAnsi="Calibri" w:asciiTheme="majorHAnsi" w:hAnsiTheme="majorHAnsi"/>
          <w:lang w:val="en-GB"/>
        </w:rPr>
        <w:t xml:space="preserve">. A symptomatic infectious left untreated is highly fatal, with a mortality rate of 75%-95%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59" w:name="__Fieldmark__1122_513475976"/>
      <w:r>
        <w:rPr>
          <w:rFonts w:ascii="Calibri" w:hAnsi="Calibri" w:asciiTheme="majorHAnsi" w:hAnsiTheme="majorHAnsi"/>
          <w:lang w:val="en-GB"/>
        </w:rPr>
        <w:t>(</w:t>
      </w:r>
      <w:bookmarkStart w:id="160" w:name="__Fieldmark__3691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59"/>
      <w:bookmarkEnd w:id="160"/>
      <w:r>
        <w:rPr>
          <w:rFonts w:ascii="Calibri" w:hAnsi="Calibri" w:asciiTheme="majorHAnsi" w:hAnsiTheme="majorHAnsi"/>
          <w:lang w:val="en-GB"/>
        </w:rPr>
        <w:t xml:space="preserve">. VL is diagnosed by microscopic examination of spleen, bone marrow (BM) or lymph node aspirates: all these diagnostic strategies are complex, with variable sensitivity and even life-threatening, in the case of lymph node aspirates. Alternatively, the polymerase chain reaction (PCR) is more sensitive than microscopic examination, but its use is restricted to referral hospitals and research centres. Despite their toxicity, pentavalent antimonials have been the standard drug for treatment, but newer and more efficient therapies are currently used in some regions due to the appearance of drug-resistances </w:t>
      </w:r>
      <w:r>
        <w:fldChar w:fldCharType="begin"/>
      </w:r>
      <w:r>
        <w:instrText>ADDIN CSL_CITATION { "citationItems" : [ { "id" : "ITEM-1", "itemData" : { "DOI" : "10.2147/CLEP.S44267", "ISBN" : "1179-1349 (Electronic)\\r1179-1349 (Linking)", "ISSN" : "11791349", "PMID" : "24833919", "author" : [ { "dropping-particle" : "", "family" : "Ready", "given" : "Paul D", "non-dropping-particle" : "", "parse-names" : false, "suffix" : "" } ], "container-title" : "Clinical Epidemiology", "id" : "ITEM-1", "issued" : { "date-parts" : [ [ "2014" ] ] }, "page" : "147-154", "title" : "Epidemiology of visceral leishmaniasis", "type" : "article-journal", "volume" : "6" }, "uris" : [ "http://www.mendeley.com/documents/?uuid=409a17ad-0ef4-40d1-8f7e-50bb9a94ed88" ] } ], "mendeley" : { "formattedCitation" : "(Ready, 2014)", "plainTextFormattedCitation" : "(Ready, 2014)", "previouslyFormattedCitation" : "(Ready, 2014)" }, "properties" : {  }, "schema" : "https://github.com/citation-style-language/schema/raw/master/csl-citation.json" }</w:instrText>
      </w:r>
      <w:r>
        <w:fldChar w:fldCharType="separate"/>
      </w:r>
      <w:bookmarkStart w:id="161" w:name="__Fieldmark__1129_513475976"/>
      <w:r>
        <w:rPr>
          <w:rFonts w:ascii="Calibri" w:hAnsi="Calibri" w:asciiTheme="majorHAnsi" w:hAnsiTheme="majorHAnsi"/>
          <w:lang w:val="en-GB"/>
        </w:rPr>
        <w:t>(</w:t>
      </w:r>
      <w:bookmarkStart w:id="162" w:name="__Fieldmark__3724_903549581"/>
      <w:r>
        <w:rPr>
          <w:rFonts w:ascii="Calibri" w:hAnsi="Calibri" w:asciiTheme="majorHAnsi" w:hAnsiTheme="majorHAnsi"/>
          <w:lang w:val="en-GB"/>
        </w:rPr>
        <w:t>Ready, 2014)</w:t>
      </w:r>
      <w:r>
        <w:rPr>
          <w:rFonts w:ascii="Calibri" w:hAnsi="Calibri" w:asciiTheme="majorHAnsi" w:hAnsiTheme="majorHAnsi"/>
          <w:lang w:val="en-GB"/>
        </w:rPr>
      </w:r>
      <w:r>
        <w:fldChar w:fldCharType="end"/>
      </w:r>
      <w:bookmarkEnd w:id="161"/>
      <w:bookmarkEnd w:id="162"/>
      <w:r>
        <w:rPr>
          <w:rFonts w:ascii="Calibri" w:hAnsi="Calibri" w:asciiTheme="majorHAnsi" w:hAnsiTheme="majorHAnsi"/>
          <w:lang w:val="en-GB"/>
        </w:rPr>
        <w:t>: liposomal amphotericinin B (L-AmB), a very effective but highly expensive drug, and miltefosine, which can lead to poor compliance and disease relapses.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Morocco, 300 to 600 VL cases are estimated per year caused by </w:t>
      </w:r>
      <w:r>
        <w:rPr>
          <w:rFonts w:ascii="Calibri" w:hAnsi="Calibri" w:asciiTheme="majorHAnsi" w:hAnsiTheme="majorHAnsi"/>
          <w:i/>
          <w:lang w:val="en-GB"/>
        </w:rPr>
        <w:t>Leishmania Infantum</w:t>
      </w:r>
      <w:r>
        <w:rPr>
          <w:rFonts w:ascii="Calibri" w:hAnsi="Calibri" w:asciiTheme="majorHAnsi" w:hAnsiTheme="majorHAnsi"/>
          <w:lang w:val="en-GB"/>
        </w:rPr>
        <w:t xml:space="preserve"> </w:t>
      </w:r>
      <w:r>
        <w:fldChar w:fldCharType="begin"/>
      </w:r>
      <w:r>
        <w:instrText>ADDIN CSL_CITATION { "citationItems" : [ { "id" : "ITEM-1", "itemData" : { "DOI" : "10.1371/journal.pone.0035671", "ISBN" : "1932-6203 (Electronic)\\r1932-6203 (Linking)", "ISSN" : "19326203", "PMID" : "22693548", "abstract" : "As part of a World Health Organization-led effort to update the empirical evidence base for the leishmaniases, national experts provided leishmaniasis case data for the last 5 years and information regarding treatment and control in their respective countries and a comprehensive literature review was conducted covering publications on leishmaniasis in 98 countries and three territories (see 'Leishmaniasis Country Profiles Text S1, S2, S3, S4, S5, S6, S7, S8, S9, S10, S11, S12, S13, S14, S15, S16, S17, S18, S19, S20, S21, S22, S23, S24, S25, S26, S27, S28, S29, S30, S31, S32, S33, S34, S35, S36, S37, S38, S39, S40, S41, S42, S43, S44, S45, S46, S47, S48, S49, S50, S51, S52, S53, S54, S55, S56, S57, S58, S59, S60, S61, S62, S63, S64, S65, S66, S67, S68, S69, S70, S71, S72, S73, S74, S75, S76, S77, S78, S79, S80, S81, S82, S83, S84, S85, S86, S87, S88, S89, S90, S91, S92, S93, S94, S95, S96, S97, S98, S99, S100, S101'). Additional information was collated during meetings conducted at WHO regional level between 2007 and 2011. Two questionnaires regarding epidemiology and drug access were completed by experts and national program managers. Visceral and cutaneous leishmaniasis incidence ranges were estimated by country and epidemiological region based on reported incidence, underreporting rates if available, and the judgment of national and international experts. Based on these estimates, approximately 0.2 to 0.4 cases and 0.7 to 1.2 million VL and CL cases, respectively, occur each year. More than 90% of global VL cases occur in six countries: India, Bangladesh, Sudan, South Sudan, Ethiopia and Brazil. Cutaneous leishmaniasis is more widely distributed, with about one-third of cases occurring in each of three epidemiological regions, the Americas, the Mediterranean basin, and western Asia from the Middle East to Central Asia. The ten countries with the highest estimated case counts, Afghanistan, Algeria, Colombia, Brazil, Iran, Syria, Ethiopia, North Sudan, Costa Rica and Peru, together account for 70 to 75% of global estimated CL incidence. Mortality data were extremely sparse and generally represent hospital-based deaths only. Using an overall case-fatality rate of 10%, we reach a tentative estimate of 20,000 to 40,000 leishmaniasis deaths per year. Although the information is very poor in a number of countries, this is the first in-depth exercise to better estimate the real impact of leishmaniasis. These data should help to define control strategies and r\u2026", "author" : [ { "dropping-particle" : "", "family" : "Alvar", "given" : "Jorge", "non-dropping-particle" : "", "parse-names" : false, "suffix" : "" }, { "dropping-particle" : "", "family" : "V\u00e9lez", "given" : "Iv\u00e1n D.", "non-dropping-particle" : "", "parse-names" : false, "suffix" : "" }, { "dropping-particle" : "", "family" : "Bern", "given" : "Caryn", "non-dropping-particle" : "", "parse-names" : false, "suffix" : "" }, { "dropping-particle" : "", "family" : "Herrero", "given" : "Merc\u00e9", "non-dropping-particle" : "", "parse-names" : false, "suffix" : "" }, { "dropping-particle" : "", "family" : "Desjeux", "given" : "Philippe", "non-dropping-particle" : "", "parse-names" : false, "suffix" : "" }, { "dropping-particle" : "", "family" : "Cano", "given" : "Jorge", "non-dropping-particle" : "", "parse-names" : false, "suffix" : "" }, { "dropping-particle" : "", "family" : "Jannin", "given" : "Jean", "non-dropping-particle" : "", "parse-names" : false, "suffix" : "" }, { "dropping-particle" : "", "family" : "Boer", "given" : "Margrietn", "non-dropping-particle" : "de", "parse-names" : false, "suffix" : "" } ], "container-title" : "PLoS ONE", "id" : "ITEM-1", "issue" : "5", "issued" : { "date-parts" : [ [ "2012" ] ] }, "page" : "e35671", "title" : "Leishmaniasis worldwide and global estimates of its incidence", "type" : "article-journal", "volume" : "7" }, "uris" : [ "http://www.mendeley.com/documents/?uuid=ff0b44e9-7d0e-451b-ac55-eb94a343f8aa" ] } ], "mendeley" : { "formattedCitation" : "(Alvar et al., 2012)", "plainTextFormattedCitation" : "(Alvar et al., 2012)", "previouslyFormattedCitation" : "(Alvar et al., 2012)" }, "properties" : {  }, "schema" : "https://github.com/citation-style-language/schema/raw/master/csl-citation.json" }</w:instrText>
      </w:r>
      <w:r>
        <w:fldChar w:fldCharType="separate"/>
      </w:r>
      <w:bookmarkStart w:id="163" w:name="__Fieldmark__1140_513475976"/>
      <w:r>
        <w:rPr>
          <w:rFonts w:ascii="Calibri" w:hAnsi="Calibri" w:asciiTheme="majorHAnsi" w:hAnsiTheme="majorHAnsi"/>
          <w:lang w:val="en-GB"/>
        </w:rPr>
        <w:t>(</w:t>
      </w:r>
      <w:bookmarkStart w:id="164" w:name="__Fieldmark__3748_903549581"/>
      <w:r>
        <w:rPr>
          <w:rFonts w:ascii="Calibri" w:hAnsi="Calibri" w:asciiTheme="majorHAnsi" w:hAnsiTheme="majorHAnsi"/>
          <w:lang w:val="en-GB"/>
        </w:rPr>
        <w:t>Alvar et al., 2012)</w:t>
      </w:r>
      <w:r>
        <w:rPr>
          <w:rFonts w:ascii="Calibri" w:hAnsi="Calibri" w:asciiTheme="majorHAnsi" w:hAnsiTheme="majorHAnsi"/>
          <w:lang w:val="en-GB"/>
        </w:rPr>
      </w:r>
      <w:r>
        <w:fldChar w:fldCharType="end"/>
      </w:r>
      <w:bookmarkEnd w:id="163"/>
      <w:bookmarkEnd w:id="164"/>
      <w:r>
        <w:rPr>
          <w:rFonts w:ascii="Calibri" w:hAnsi="Calibri" w:asciiTheme="majorHAnsi" w:hAnsiTheme="majorHAnsi"/>
          <w:lang w:val="en-GB"/>
        </w:rPr>
        <w:t>. It mainly affects poor</w:t>
      </w:r>
      <w:ins w:id="150" w:author="Unknown Author" w:date="2018-04-12T11:12:00Z">
        <w:r>
          <w:rPr>
            <w:rFonts w:ascii="Calibri" w:hAnsi="Calibri" w:asciiTheme="majorHAnsi" w:hAnsiTheme="majorHAnsi"/>
            <w:lang w:val="en-GB"/>
          </w:rPr>
          <w:commentReference w:id="7"/>
        </w:r>
      </w:ins>
      <w:del w:id="151" w:author="Unknown Author" w:date="2018-04-12T11:12:00Z">
        <w:r>
          <w:rPr>
            <w:rFonts w:ascii="Calibri" w:hAnsi="Calibri" w:asciiTheme="majorHAnsi" w:hAnsiTheme="majorHAnsi"/>
            <w:lang w:val="en-GB"/>
          </w:rPr>
          <w:delText>er</w:delText>
        </w:r>
      </w:del>
      <w:r>
        <w:rPr>
          <w:rFonts w:ascii="Calibri" w:hAnsi="Calibri" w:asciiTheme="majorHAnsi" w:hAnsiTheme="majorHAnsi"/>
          <w:lang w:val="en-GB"/>
        </w:rPr>
        <w:t xml:space="preserve"> children between 1 and 4 years of age in rural areas in the North of the country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"id" : "ITEM-2", "itemData" : { "DOI" : "10.1016/j.patbio.2009.09.003", "ISBN" : "0369-8114", "ISSN" : "03698114", "abstract" : "Leishmaniases in Morocco are endemic diseases. Three forms of leishmaniasis are reported, visceral leishmaniasis, cutaneous leishmaniasis caused by Leishmania tropica and cutaneous lesions due to Leishmania major. Leishmania infantum, a common parasite inducing visceral leishmaniasis, was observed thereafter in cutaneous lesions. The first case of cutaneous leishmaniasis due to L.tropica was isolated since 1987. But, this parasite was shown to be more polymorphic with almost 8 zymodemes. However, these zymodemes are not all transmitted by Phlebotomus sergenti and not all isolated from human reservoir. Regarding the clinical aspect, cutaneous leishmaniasis with L. tropica is described as a single lesion starting as a nodule at the site of inoculation. A crust develops centrally which may fall away exposing an ulcer which heals gradually. The second cutaneous form is that caused by Leishmania major. It was known in villages located in the southern slopes of the Atlas Mountains. Clinically, the lesion is often severely inflamed and ulcerated and heals in 4-6 months. The epidemiologic cycle of this rural form, include Phlebotomus papatasi as the proven vector and a commensally rodent, Meriones shawi grandis as the reservoir. However, visceral leishmaniasis in Morocco has been known since 1921. It is especially located in the North. The responsible parasite is L. infantum MON 1. Two species of the sand fly are involved in the transmission of this form, P. ariasi and P. perniciosus. In infected man, the clinical signs are non-tender splenomegaly, with or without hepatomegaly, wasting and pallor of mucous membranes. Even though L. infantum MON1 is responsible of the disease, some canine cases were reported to be caused by Leishmania tropica. ?? 2009 Elsevier Masson SAS.", "author" : [ { "dropping-particle" : "", "family" : "Rhajaoui", "given" : "M.", "non-dropping-particle" : "", "parse-names" : false, "suffix" : "" } ], "container-title" : "Pathologie Biologie", "id" : "ITEM-2", "issue" : "4", "issued" : { "date-parts" : [ [ "2011" ] ] }, "page" : "226-229", "title" : "Les leishmanioses humaines au Maroc: une diversit\u00e9 nosog\u00e9ographique", "type" : "article-journal", "volume" : "59" }, "uris" : [ "http://www.mendeley.com/documents/?uuid=ac57ff2c-c0cd-479a-9049-010ec4a30a9d" ] } ], "mendeley" : { "formattedCitation" : "(Mniouil et al., 2017; Rhajaoui, 2011)", "plainTextFormattedCitation" : "(Mniouil et al., 2017; Rhajaoui, 2011)", "previouslyFormattedCitation" : "(Mniouil et al., 2017; Rhajaoui, 2011)" }, "properties" : {  }, "schema" : "https://github.com/citation-style-language/schema/raw/master/csl-citation.json" }</w:instrText>
      </w:r>
      <w:r>
        <w:fldChar w:fldCharType="separate"/>
      </w:r>
      <w:bookmarkStart w:id="165" w:name="__Fieldmark__1147_513475976"/>
      <w:r>
        <w:rPr>
          <w:rFonts w:ascii="Calibri" w:hAnsi="Calibri" w:asciiTheme="majorHAnsi" w:hAnsiTheme="majorHAnsi"/>
          <w:lang w:val="en-GB"/>
        </w:rPr>
        <w:t>(</w:t>
      </w:r>
      <w:bookmarkStart w:id="166" w:name="__Fieldmark__3758_903549581"/>
      <w:r>
        <w:rPr>
          <w:rFonts w:ascii="Calibri" w:hAnsi="Calibri" w:asciiTheme="majorHAnsi" w:hAnsiTheme="majorHAnsi"/>
          <w:lang w:val="en-GB"/>
        </w:rPr>
        <w:t>Mniouil et al., 2017; Rhajaoui, 2011)</w:t>
      </w:r>
      <w:r>
        <w:rPr>
          <w:rFonts w:ascii="Calibri" w:hAnsi="Calibri" w:asciiTheme="majorHAnsi" w:hAnsiTheme="majorHAnsi"/>
          <w:lang w:val="en-GB"/>
        </w:rPr>
      </w:r>
      <w:r>
        <w:fldChar w:fldCharType="end"/>
      </w:r>
      <w:bookmarkEnd w:id="165"/>
      <w:bookmarkEnd w:id="166"/>
      <w:r>
        <w:rPr>
          <w:rFonts w:ascii="Calibri" w:hAnsi="Calibri" w:asciiTheme="majorHAnsi" w:hAnsiTheme="majorHAnsi"/>
          <w:lang w:val="en-GB"/>
        </w:rPr>
        <w:t xml:space="preserve">, where most of the population live in poverty, without proper sanitation and with poor nutrition </w:t>
      </w:r>
      <w:r>
        <w:fldChar w:fldCharType="begin"/>
      </w:r>
      <w:r>
        <w:instrText>ADDIN CSL_CITATION { "citationItems" : [ { "id" : "ITEM-1", "itemData" : { "DOI" : "10.1016/j.parepi.2017.07.001", "ISSN" : "24056731", "abstract" : "Human visceral leishmaniasis one of the seven most neglected tropical diseases in the world. In Morocco, HVL is widespread in all regions; but it is more common in the northern part with sporadic cases observed in the South. During the period between 2004 and 2013, the most affected Moroccan provinces were Taounate province, with 220 cases (16.09% of all cases), followed by Chefchaouen with 13.17% and Taza with 10.46% of the total cases. Children &lt; 5 years old are the most affected age group, most cases registered were male. Geographic distribution of HVL showed predominance in rural areas but we noted that it's opening to be urban.", "author" : [ { "dropping-particle" : "", "family" : "Kahime", "given" : "Kholoud", "non-dropping-particle" : "", "parse-names" : false, "suffix" : "" }, { "dropping-particle" : "", "family" : "Boussaa", "given" : "Samia", "non-dropping-particle" : "", "parse-names" : false, "suffix" : "" }, { "dropping-particle" : "", "family" : "Nhammi", "given" : "Haddou", "non-dropping-particle" : "", "parse-names" : false, "suffix" : "" }, { "dropping-particle" : "", "family" : "Boumezzough", "given" : "Ali", "non-dropping-particle" : "", "parse-names" : false, "suffix" : "" } ], "container-title" : "Parasite Epidemiology and Control", "id" : "ITEM-1", "issue" : "4", "issued" : { "date-parts" : [ [ "2017" ] ] }, "page" : "1-6", "publisher" : "Elsevier", "title" : "Urbanization of human visceral leishmaniasis in Morocco", "type" : "article-journal", "volume" : "2" }, "uris" : [ "http://www.mendeley.com/documents/?uuid=71d64ca7-bccf-47f6-ab99-6656a2d3ff2c" ] } ], "mendeley" : { "formattedCitation" : "(Kahime et al., 2017)", "plainTextFormattedCitation" : "(Kahime et al., 2017)", "previouslyFormattedCitation" : "(Kahime et al., 2017)" }, "properties" : {  }, "schema" : "https://github.com/citation-style-language/schema/raw/master/csl-citation.json" }</w:instrText>
      </w:r>
      <w:r>
        <w:fldChar w:fldCharType="separate"/>
      </w:r>
      <w:bookmarkStart w:id="167" w:name="__Fieldmark__1154_513475976"/>
      <w:r>
        <w:rPr>
          <w:rFonts w:ascii="Calibri" w:hAnsi="Calibri" w:asciiTheme="majorHAnsi" w:hAnsiTheme="majorHAnsi"/>
          <w:lang w:val="en-GB"/>
        </w:rPr>
        <w:t>(</w:t>
      </w:r>
      <w:bookmarkStart w:id="168" w:name="__Fieldmark__3770_903549581"/>
      <w:r>
        <w:rPr>
          <w:rFonts w:ascii="Calibri" w:hAnsi="Calibri" w:asciiTheme="majorHAnsi" w:hAnsiTheme="majorHAnsi"/>
          <w:lang w:val="en-GB"/>
        </w:rPr>
        <w:t>Kahime et al., 2017)</w:t>
      </w:r>
      <w:r>
        <w:rPr>
          <w:rFonts w:ascii="Calibri" w:hAnsi="Calibri" w:asciiTheme="majorHAnsi" w:hAnsiTheme="majorHAnsi"/>
          <w:lang w:val="en-GB"/>
        </w:rPr>
      </w:r>
      <w:r>
        <w:fldChar w:fldCharType="end"/>
      </w:r>
      <w:bookmarkEnd w:id="167"/>
      <w:bookmarkEnd w:id="168"/>
      <w:r>
        <w:rPr>
          <w:rFonts w:ascii="Calibri" w:hAnsi="Calibri" w:asciiTheme="majorHAnsi" w:hAnsiTheme="majorHAnsi"/>
          <w:lang w:val="en-GB"/>
        </w:rPr>
        <w:t xml:space="preserve">. The number of reported VL cases has steadily increased over the last decades. Endemic areas of VL have broadened. In the last decade, VL has slowly spread to the centre of the country due to the efficiency of the vector </w:t>
      </w:r>
      <w:r>
        <w:fldChar w:fldCharType="begin"/>
      </w:r>
      <w:r>
        <w:instrText>ADDIN CSL_CITATION { "citationItems" : [ { "id" : "ITEM-1", "itemData" : { "DOI" : "10.1016/j.actatropica.2016.10.016", "ISSN" : "0001706X", "author" : [ { "dropping-particle" : "", "family" : "Mniouil", "given" : "Meryem", "non-dropping-particle" : "", "parse-names" : false, "suffix" : "" }, { "dropping-particle" : "", "family" : "Fellah", "given" : "Hajiba", "non-dropping-particle" : "", "parse-names" : false, "suffix" : "" }, { "dropping-particle" : "", "family" : "Amarir", "given" : "Fatima", "non-dropping-particle" : "", "parse-names" : false, "suffix" : "" }, { "dropping-particle" : "", "family" : "Et-touys", "given" : "Abdeslam", "non-dropping-particle" : "", "parse-names" : false, "suffix" : "" }, { "dropping-particle" : "", "family" : "Bekhti", "given" : "Khadija", "non-dropping-particle" : "", "parse-names" : false, "suffix" : "" }, { "dropping-particle" : "", "family" : "Adlaoui El", "given" : "Bachir", "non-dropping-particle" : "", "parse-names" : false, "suffix" : "" }, { "dropping-particle" : "", "family" : "Bakri", "given" : "Youssef", "non-dropping-particle" : "", "parse-names" : false, "suffix" : "" }, { "dropping-particle" : "", "family" : "Nhammi", "given" : "Haddou", "non-dropping-particle" : "", "parse-names" : false, "suffix" : "" }, { "dropping-particle" : "", "family" : "Sadak", "given" : "Abderrahim", "non-dropping-particle" : "", "parse-names" : false, "suffix" : "" }, { "dropping-particle" : "", "family" : "Sebti", "given" : "Faiza", "non-dropping-particle" : "", "parse-names" : false, "suffix" : "" } ], "container-title" : "Acta Tropica", "id" : "ITEM-1", "issued" : { "date-parts" : [ [ "2017" ] ] }, "page" : "169-177", "publisher" : "Elsevier B.V.", "title" : "Epidemiological characteristics of Visceral Leishmaniasis in Morocco (1990\u20132014): An Update", "type" : "article-journal", "volume" : "170" }, "uris" : [ "http://www.mendeley.com/documents/?uuid=bf17515b-5d69-49e2-9e85-10d4c6ce3a0a" ] } ], "mendeley" : { "formattedCitation" : "(Mniouil et al., 2017)", "plainTextFormattedCitation" : "(Mniouil et al., 2017)", "previouslyFormattedCitation" : "(Mniouil et al., 2017)" }, "properties" : {  }, "schema" : "https://github.com/citation-style-language/schema/raw/master/csl-citation.json" }</w:instrText>
      </w:r>
      <w:r>
        <w:fldChar w:fldCharType="separate"/>
      </w:r>
      <w:bookmarkStart w:id="169" w:name="__Fieldmark__1161_513475976"/>
      <w:r>
        <w:rPr>
          <w:rFonts w:ascii="Calibri" w:hAnsi="Calibri" w:asciiTheme="majorHAnsi" w:hAnsiTheme="majorHAnsi"/>
          <w:lang w:val="en-GB"/>
        </w:rPr>
        <w:t>(</w:t>
      </w:r>
      <w:bookmarkStart w:id="170" w:name="__Fieldmark__3789_903549581"/>
      <w:r>
        <w:rPr>
          <w:rFonts w:ascii="Calibri" w:hAnsi="Calibri" w:asciiTheme="majorHAnsi" w:hAnsiTheme="majorHAnsi"/>
          <w:lang w:val="en-GB"/>
        </w:rPr>
        <w:t>Mniouil et al., 2017)</w:t>
      </w:r>
      <w:r>
        <w:rPr>
          <w:rFonts w:ascii="Calibri" w:hAnsi="Calibri" w:asciiTheme="majorHAnsi" w:hAnsiTheme="majorHAnsi"/>
          <w:lang w:val="en-GB"/>
        </w:rPr>
      </w:r>
      <w:r>
        <w:fldChar w:fldCharType="end"/>
      </w:r>
      <w:bookmarkEnd w:id="169"/>
      <w:bookmarkEnd w:id="170"/>
      <w:r>
        <w:rPr>
          <w:rFonts w:ascii="Calibri" w:hAnsi="Calibri" w:asciiTheme="majorHAnsi" w:hAnsiTheme="majorHAnsi"/>
          <w:lang w:val="en-GB"/>
        </w:rPr>
        <w:t xml:space="preserve">. VL is diagnosed and treated at district hospitals. According to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171" w:name="__Fieldmark__1168_513475976"/>
      <w:r>
        <w:rPr>
          <w:rFonts w:ascii="Calibri" w:hAnsi="Calibri" w:asciiTheme="majorHAnsi" w:hAnsiTheme="majorHAnsi"/>
          <w:lang w:val="en-GB"/>
        </w:rPr>
        <w:t>(</w:t>
      </w:r>
      <w:bookmarkStart w:id="172" w:name="__Fieldmark__3800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171"/>
      <w:bookmarkEnd w:id="172"/>
      <w:r>
        <w:rPr>
          <w:rFonts w:ascii="Calibri" w:hAnsi="Calibri" w:asciiTheme="majorHAnsi" w:hAnsiTheme="majorHAnsi"/>
          <w:lang w:val="en-GB"/>
        </w:rPr>
        <w:t>, a patient presenting VL clinical symptoms is diagnosed by BM aspirates or serological tests. Meglumine antimoniate (SB) (20 mg of SB/kg/day for 20 days) is the first line of treatment, while L-AmB (18–25mg/kg in six doses—days 1 to 5 and 10) is the second line of treatment (</w:t>
      </w:r>
      <w:r>
        <w:rPr>
          <w:rFonts w:ascii="Calibri" w:hAnsi="Calibri" w:asciiTheme="majorHAnsi" w:hAnsiTheme="majorHAnsi"/>
          <w:b/>
          <w:lang w:val="en-GB"/>
        </w:rPr>
        <w:t>table 1</w:t>
      </w:r>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809"/>
        <w:gridCol w:w="3542"/>
        <w:gridCol w:w="3627"/>
      </w:tblGrid>
      <w:tr>
        <w:trPr>
          <w:cnfStyle w:val="100000000000" w:firstRow="1" w:lastRow="0" w:firstColumn="0" w:lastColumn="0" w:oddVBand="0" w:evenVBand="0" w:oddHBand="0" w:evenHBand="0" w:firstRowFirstColumn="0" w:firstRowLastColumn="0" w:lastRowFirstColumn="0" w:lastRowLastColumn="0"/>
        </w:trPr>
        <w:tc>
          <w:tcPr>
            <w:tcW w:w="8978" w:type="dxa"/>
            <w:gridSpan w:val="3"/>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lang w:val="en-GB"/>
              </w:rPr>
            </w:pPr>
            <w:r>
              <w:rPr>
                <w:rFonts w:ascii="Calibri" w:hAnsi="Calibri" w:asciiTheme="majorHAnsi" w:hAnsiTheme="majorHAnsi"/>
                <w:b/>
                <w:bCs/>
                <w:color w:val="00000A"/>
                <w:lang w:val="en-GB"/>
              </w:rPr>
              <w:t>Table 1. National guidelines for the diagnosis and treatment of paediatric visceral leishmaniasis in Morocco and uncomplicated malaria in Mozambique. AL: artemether-lumefantrine; AS-AQ: artesunate-amodiaquine; BM: bone marrow; L-AmB: liposomal amphotericinin B; SB: megluminate antimoniate; VL: visceral leishmaniasis</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b/>
                <w:bCs/>
                <w:color w:val="FFFFFF" w:themeColor="background1"/>
                <w:lang w:val="en-GB"/>
              </w:rPr>
            </w:pPr>
            <w:r>
              <w:rPr>
                <w:rFonts w:asciiTheme="majorHAnsi" w:hAnsiTheme="majorHAnsi" w:ascii="Calibri" w:hAnsi="Calibri"/>
                <w:b/>
                <w:bCs/>
                <w:color w:val="FFFFFF" w:themeColor="background1"/>
                <w:lang w:val="en-GB"/>
              </w:rPr>
            </w:r>
          </w:p>
        </w:tc>
        <w:tc>
          <w:tcPr>
            <w:tcW w:w="3542"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VL (Morocco)</w:t>
            </w:r>
          </w:p>
        </w:tc>
        <w:tc>
          <w:tcPr>
            <w:tcW w:w="3627"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
                <w:b/>
                <w:color w:val="FFFFFF" w:themeColor="background1"/>
                <w:lang w:val="en-GB"/>
              </w:rPr>
            </w:pPr>
            <w:r>
              <w:rPr>
                <w:rFonts w:ascii="Calibri" w:hAnsi="Calibri" w:asciiTheme="majorHAnsi" w:hAnsiTheme="majorHAnsi"/>
                <w:b/>
                <w:color w:val="FFFFFF" w:themeColor="background1"/>
                <w:lang w:val="en-GB"/>
              </w:rPr>
              <w:t>Malaria (Mozambique)</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Diagnosis</w:t>
            </w:r>
          </w:p>
        </w:tc>
        <w:tc>
          <w:tcPr>
            <w:tcW w:w="3542" w:type="dxa"/>
            <w:tcBorders>
              <w:top w:val="nil"/>
              <w:left w:val="nil"/>
              <w:bottom w:val="nil"/>
              <w:right w:val="nil"/>
              <w:insideH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Microscopic examination of BM aspirates or serological test</w:t>
            </w:r>
          </w:p>
        </w:tc>
        <w:tc>
          <w:tcPr>
            <w:tcW w:w="3627"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 xml:space="preserve">Microscopic examination or rapid diagnostic test </w:t>
            </w:r>
          </w:p>
        </w:tc>
      </w:tr>
      <w:tr>
        <w:trPr>
          <w:cnfStyle w:val="000000100000" w:firstRow="0" w:lastRow="0" w:firstColumn="0" w:lastColumn="0" w:oddVBand="0" w:evenVBand="0" w:oddHBand="1"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First-line treatment</w:t>
            </w:r>
          </w:p>
        </w:tc>
        <w:tc>
          <w:tcPr>
            <w:tcW w:w="3542"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20 mg of SB/kg/day for 20 days</w:t>
            </w:r>
          </w:p>
        </w:tc>
        <w:tc>
          <w:tcPr>
            <w:tcW w:w="3627"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AL, dosage according to weight during 3 days</w:t>
            </w:r>
          </w:p>
        </w:tc>
      </w:tr>
      <w:tr>
        <w:trPr/>
        <w:tc>
          <w:tcPr>
            <w:tcW w:w="180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lang w:val="en-GB"/>
              </w:rPr>
            </w:pPr>
            <w:r>
              <w:rPr>
                <w:rFonts w:ascii="Calibri" w:hAnsi="Calibri" w:asciiTheme="majorHAnsi" w:hAnsiTheme="majorHAnsi"/>
                <w:b/>
                <w:bCs/>
                <w:lang w:val="en-GB"/>
              </w:rPr>
              <w:t>Second-line treatment</w:t>
            </w:r>
          </w:p>
        </w:tc>
        <w:tc>
          <w:tcPr>
            <w:tcW w:w="3542" w:type="dxa"/>
            <w:tcBorders>
              <w:top w:val="nil"/>
              <w:left w:val="nil"/>
              <w:right w:val="nil"/>
              <w:insideV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18–25mg/kg of L-AmB in six doses—days 1 to 5 and 10</w:t>
            </w:r>
          </w:p>
        </w:tc>
        <w:tc>
          <w:tcPr>
            <w:tcW w:w="3627"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lang w:val="en-GB"/>
              </w:rPr>
            </w:pPr>
            <w:r>
              <w:rPr>
                <w:rFonts w:ascii="Calibri" w:hAnsi="Calibri" w:asciiTheme="majorHAnsi" w:hAnsiTheme="majorHAnsi"/>
                <w:lang w:val="en-GB"/>
              </w:rPr>
              <w:t>AS-AQ, from 2-10mg/kg of AS and 7.5-15mg/kg of AQ during 3 days</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has produced few </w:t>
      </w:r>
      <w:del w:id="152" w:author="Unknown Author" w:date="2018-04-12T11:12:00Z">
        <w:r>
          <w:rPr>
            <w:rFonts w:ascii="Calibri" w:hAnsi="Calibri" w:asciiTheme="majorHAnsi" w:hAnsiTheme="majorHAnsi"/>
            <w:lang w:val="en-GB"/>
          </w:rPr>
          <w:delText xml:space="preserve">albeit </w:delText>
        </w:r>
      </w:del>
      <w:r>
        <w:rPr>
          <w:rFonts w:ascii="Calibri" w:hAnsi="Calibri" w:asciiTheme="majorHAnsi" w:hAnsiTheme="majorHAnsi"/>
          <w:lang w:val="en-GB"/>
        </w:rPr>
        <w:t xml:space="preserve">relevant contributions to VL, mainly quantifying the economic burden of the disease. Several studies have estimated the households and health systems costs of VL, particularly for the Indian subcontinent, East Africa and Brazil, which are the areas with highest burden worldwide </w:t>
      </w:r>
      <w:r>
        <w:fldChar w:fldCharType="begin"/>
      </w:r>
      <w:r>
        <w:instrText>ADDIN CSL_CITATION { "citationItems" : [ { "id" : "ITEM-1", "itemData" : { "DOI" : "10.1111/j.1365-3156.2009.02279.x", "ISBN" : "1365-3156 (Electronic)\\r1360-2276 (Linking)", "ISSN" : "13602276", "PMID" : "19392741", "abstract" : "OBJECTIVE: To provide data about wealth distribution in visceral leishmaniasis (VL)-affected communities compared to that of the general population of Bihar State, India. METHODS: After extensive disease risk mapping, 16 clusters with high VL transmission were selected in Bihar. An exhaustive census of all households in the clusters was conducted and socio-economic household characteristics were documented by questionnaire. Data on the general Bihar population taken from the National Family Health Survey of India were used for comparison. An asset index was developed based on Principal Components Analysis and the distribution of this asset index for the VL communities was compared with that of the general population of Bihar. RESULTS: 83% of households in communities with high VL attack rates belonged to the two lowest quintiles of the Bihar wealth distribution. All socio-economic indicators showed significantly lower wealth for those households. CONCLUSION: Visceral leishmaniasis clearly affects the poorest of the poor in India. They are most vulnerable, as this vector-born disease is linked to poor housing and unhealthy habitats. The disease leads the affected households to more destitution because of its impact on household income and wealth. Support for the present VL elimination initiative is important in the fight against poverty.", "author" : [ { "dropping-particle" : "", "family" : "Boelaert", "given" : "M", "non-dropping-particle" : "", "parse-names" : false, "suffix" : "" }, { "dropping-particle" : "", "family" : "Meheus", "given" : "F.", "non-dropping-particle" : "", "parse-names" : false, "suffix" : "" }, { "dropping-particle" : "", "family" : "Sanchez", "given" : "A.", "non-dropping-particle" : "", "parse-names" : false, "suffix" : "" }, { "dropping-particle" : "", "family" : "Singh", "given" : "S. P.", "non-dropping-particle" : "", "parse-names" : false, "suffix" : "" }, { "dropping-particle" : "", "family" : "Vanlerberghe", "given" : "V.", "non-dropping-particle" : "", "parse-names" : false, "suffix" : "" }, { "dropping-particle" : "", "family" : "Picado", "given" : "A.", "non-dropping-particle" : "", "parse-names" : false, "suffix" : "" }, { "dropping-particle" : "", "family" : "Meessen", "given" : "B.", "non-dropping-particle" : "", "parse-names" : false, "suffix" : "" }, { "dropping-particle" : "", "family" : "Sundar", "given" : "S.", "non-dropping-particle" : "", "parse-names" : false, "suffix" : "" } ], "container-title" : "Tropical Medicine and International Health", "id" : "ITEM-1", "issue" : "6", "issued" : { "date-parts" : [ [ "2009" ] ] }, "page" : "639-644", "title" : "The poorest of the poor: A poverty appraisal of households affected by visceral leishmaniasis in Bihar, India", "type" : "article-journal", "volume" : "14" }, "uris" : [ "http://www.mendeley.com/documents/?uuid=f908917e-f016-48ce-b3ee-aeb721726b82" ] }, { "id" : "ITEM-2", "itemData" : { "DOI" : "10.1179/136485908X355274", "ISBN" : "0003-4983 (Print)\\r0003-4983 (Linking)", "ISSN" : "0003-4983", "PMID" : "19000390", "abstract" : "The sandflies that transmit the parasites causing human visceral leishmaniasis (VL) can be controlled by several methods, including indoor residual spraying (IRS), the use of long-lasting insecticidal nets (LLIN) and ecological vector management (EVM). The financial costs of each of these three methods of sandfly control have recently been assessed and compared, in a multi-centre study based on the Indian sub-continent. In each of the four study sites (two in Nepal and one each in India and Bangladesh), 24 neighbourhoods were randomly selected in districts with high incidences of VL. The costs of the three interventions were then prospectively assessed in each study neighbourhood, in the local currency, and then converted to U.S. dollars at the prevailing exchange rate in the country concerned. The costs of IRS, which ranged from U.S.$2.4-11.7 (mean = U.S.$5.9) per household-year, were greater than those of LLIN (U.S.$3.5-5.1/household-year, with a mean of U. S.$4.5) but less than those of EVM (U. S.$5.0- 14.0/household-year, with a mean of U.S.$8.7). These results indicate that LLIN and IRS may be the cheaper options for the control of sandflies on the Indian sub-continent, and that EVM should perhaps only be taken up as a complimentary and voluntary method. Various combinations of these interventions (based on country-specific social and economic factors) may, however, be the best and most cost-effective choice.", "author" : [ { "dropping-particle" : "", "family" : "Das", "given" : "M.", "non-dropping-particle" : "", "parse-names" : false, "suffix" : "" }, { "dropping-particle" : "", "family" : "Banjara", "given" : "M.", "non-dropping-particle" : "", "parse-names" : false, "suffix" : "" }, { "dropping-particle" : "", "family" : "Chowdhury", "given" : "R.", "non-dropping-particle" : "", "parse-names" : false, "suffix" : "" }, { "dropping-particle" : "", "family" : "Kumar", "given" : "V.", "non-dropping-particle" : "", "parse-names" : false, "suffix" : "" }, { "dropping-particle" : "", "family" : "Rijal", "given" : "S.", "non-dropping-particle" : "", "parse-names" : false, "suffix" : "" }, { "dropping-particle" : "", "family" : "Joshi", "given" : "A.", "non-dropping-particle" : "", "parse-names" : false, "suffix" : "" }, { "dropping-particle" : "", "family" : "Akhter", "given" : "S.", "non-dropping-particle" : "", "parse-names" : false, "suffix" : "" }, { "dropping-particle" : "", "family" : "Das", "given" : "P.", "non-dropping-particle" : "", "parse-names" : false, "suffix" : "" }, { "dropping-particle" : "", "family" : "Kroeger", "given" : "A.", "non-dropping-particle" : "", "parse-names" : false, "suffix" : "" } ], "container-title" : "Annals of Tropical Medicine &amp; Parasitology", "id" : "ITEM-2", "issue" : "8", "issued" : { "date-parts" : [ [ "2008" ] ] }, "page" : "729-741", "title" : "Visceral leishmaniasis on the Indian sub-continent: a multi-centre study of the costs of three interventions for the control of the sandfly vector, &lt;i&gt;Phlebotomus argentipes&lt;/i&gt;", "type" : "article-journal", "volume" : "102" }, "uris" : [ "http://www.mendeley.com/documents/?uuid=55e1765f-2033-4cd5-8be1-3ef538b514f7" ] }, { "id" : "ITEM-3", "itemData" : { "DOI" : "10.1111/ijlh.12426", "ISBN" : "0000000154871", "ISSN" : "18196608",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"Carvalho", "given" : "Isis Polianna Silva Ferreira", "non-dropping-particle" : "de", "parse-names" : false, "suffix" : "" }, { "dropping-particle" : "", "family" : "Peixoto", "given" : "Henry Maia", "non-dropping-particle" : "", "parse-names" : false, "suffix" : "" }, { "dropping-particle" : "", "family" : "Romero", "given" : "Gustavo Adolfo Sierra Romero", "non-dropping-particle" : "", "parse-names" : false, "suffix" : "" }, { "dropping-particle" : "", "family" : "Oliveira", "given" : "Maria Regina Fernandes", "non-dropping-particle" : "de", "parse-names" : false, "suffix" : "" } ], "container-title" : "Trop Med Int Health", "id" : "ITEM-3", "issue" : "12", "issued" : { "date-parts" : [ [ "2017" ] ] }, "page" : "1579-1589", "title" : "Cost of visceral leishmaniasis care in Brazil", "type" : "article-journal", "volume" : "22" }, "uris" : [ "http://www.mendeley.com/documents/?uuid=4010c36a-c10e-4110-9691-f3beb4696ef0" ] }, { "id" : "ITEM-4", "itemData" : { "DOI" : "10.1111/j.", "ISBN" : "9195150331", "PMID" : "16026590", "author" : [ { "dropping-particle" : "", "family" : "Gradoni", "given" : "Luigi", "non-dropping-particle" : "", "parse-names" : false, "suffix" : "" }, { "dropping-particle" : "", "family" : "Soteriadou", "given" : "Ketty", "non-dropping-particle" : "", "parse-names" : false, "suffix" : "" }, { "dropping-particle" : "", "family" : "Louzir", "given" : "Hecmi", "non-dropping-particle" : "", "parse-names" : false, "suffix" : "" }, { "dropping-particle" : "", "family" : "Dakkak", "given" : "Allal", "non-dropping-particle" : "", "parse-names" : false, "suffix" : "" }, { "dropping-particle" : "", "family" : "Toz", "given" : "Seray", "non-dropping-particle" : "", "parse-names" : false, "suffix" : "" }, { "dropping-particle" : "", "family" : "Jaffe", "given" : "Charles", "non-dropping-particle" : "", "parse-names" : false, "suffix" : "" }, { "dropping-particle" : "", "family" : "Dedet", "given" : "Jean-Pierre", "non-dropping-particle" : "", "parse-names" : false, "suffix" : "" }, { "dropping-particle" : "", "family" : "Campino", "given" : "Lenea", "non-dropping-particle" : "", "parse-names" : false, "suffix" : "" }, { "dropping-particle" : "", "family" : "Ca\u00f1avate", "given" : "Carmen", "non-dropping-particle" : "", "parse-names" : false, "suffix" : "" }, { "dropping-particle" : "", "family" : "Dujardin", "given" : "Jean-Claude", "non-dropping-particle" : "", "parse-names" : false, "suffix" : "" } ], "container-title" : "Tropical medicine &amp; international health: TM &amp; IH", "id" : "ITEM-4", "issue" : "10", "issued" : { "date-parts" : [ [ "2008" ] ] }, "page" : "1272-1276", "title" : "Drug regimens for visceral leishmaniasis in Mediterranean countries", "type" : "article-journal", "volume" : "13" }, "uris" : [ "http://www.mendeley.com/documents/?uuid=8dcdebf3-4277-4b8a-b86d-ba1ab6524671" ] }, { "id" : "ITEM-5", "itemData" : { "DOI" : "10.4269/ajtmh.2012.10-0415", "ISBN" : "1476-1645", "ISSN" : "00029637", "PMID" : "22403311", "abstract" : "Visceral leishmaniasis (VL) is responsible for substantial morbidity and mortality and current available treatments have many limitations. The ability of VL infection to generate life-long immunity offers promise for the development of a VL vaccine. A VL vaccine candidate has recently completed phase I clinical trials. We constructed a computer simulation model to determine the potential economic value of a VL vaccine in the endemic region of Bihar state, India. Results found a potential vaccine to be cost-effective (and in many cases economically dominant, i.e., saving costs and providing health benefits) throughout a wide range of vaccination costs and vaccine efficacies, and VL risks. Overall, our study strongly supports the continued development of a VL vaccine.", "author" : [ { "dropping-particle" : "", "family" : "Lee", "given" : "Bruce Y.", "non-dropping-particle" : "", "parse-names" : false, "suffix" : "" }, { "dropping-particle" : "", "family" : "Bacon", "given" : "Kristina M.", "non-dropping-particle" : "", "parse-names" : false, "suffix" : "" }, { "dropping-particle" : "", "family" : "Shah", "given" : "Mirat", "non-dropping-particle" : "", "parse-names" : false, "suffix" : "" }, { "dropping-particle" : "", "family" : "Kitchen", "given" : "Sarah Beth", "non-dropping-particle" : "", "parse-names" : false, "suffix" : "" }, { "dropping-particle" : "", "family" : "Connor", "given" : "Diana L.", "non-dropping-particle" : "", "parse-names" : false, "suffix" : "" }, { "dropping-particle" : "", "family" : "Slayton", "given" : "Rachel B.", "non-dropping-particle" : "", "parse-names" : false, "suffix" : "" } ], "container-title" : "American Journal of Tropical Medicine and Hygiene", "id" : "ITEM-5", "issue" : "3", "issued" : { "date-parts" : [ [ "2012" ] ] }, "page" : "417-425", "title" : "The economic value of a visceral leishmaniasis vaccine in Bihar State, India", "type" : "article-journal", "volume" : "86" }, "uris" : [ "http://www.mendeley.com/documents/?uuid=31360fc9-2930-47ca-a72b-7d16766ce355" ] }, { "id" : "ITEM-6", "itemData" : { "DOI" : "10.1590/0102-311X00158614", "ISSN" : "0102-311X", "abstract" : "&lt;p&gt;Abstract This work reports the process and costs of comprehensively implementing two tests to decentralize the diagnosis of visceral leishmaniasis (VL) in an endemic city in Brazil: a rapid test (IT LEISH) and a direct agglutination test (DAT-LPC). The implementation began by training health professionals to perform the tests. Estimation of the training costs considered the proportional remuneration of all professionals involved and the direct costs of the tests used for training. The study was conducted between November 2011 and November 2013. During that time, 17 training sessions were held, and 175 professionals were trained. The training cost for each professional was US$ 7.13 for the IT LEISH and US$ 9.93 for the DAT-LPC. The direct costs of the IT LEISH and DAT-LPC were estimated to be US$ 6.62 and US$ 5.44, respectively. This first evaluation of the implementation of these diagnostic tests indicates the feasibility of decentralizing both methods to extend access to VL diagnosis in Brazil.&lt;/p&gt;", "author" : [ { "dropping-particle" : "de", "family" : "Assis", "given" : "T\u00e1lia Santana Machado", "non-dropping-particle" : "", "parse-names" : false, "suffix" : "" }, { "dropping-particle" : "", "family" : "Guimar\u00e3es", "given" : "Paloma Nogueira", "non-dropping-particle" : "", "parse-names" : false, "suffix" : "" }, { "dropping-particle" : "", "family" : "Oliveira", "given" : "Edward", "non-dropping-particle" : "", "parse-names" : false, "suffix" : "" }, { "dropping-particle" : "", "family" : "Peruhype-Magalh\u00e3es", "given" : "Vanessa", "non-dropping-particle" : "", "parse-names" : false, "suffix" : "" }, { "dropping-particle" : "", "family" : "Gomes", "given" : "Luciana In\u00e1cia", "non-dropping-particle" : "", "parse-names" : false, "suffix" : "" }, { "dropping-particle" : "", "family" : "Rabello", "given" : "Ana", "non-dropping-particle" : "", "parse-names" : false, "suffix" : "" } ], "container-title" : "Cadernos de Sa\u00fade P\u00fablica", "id" : "ITEM-6", "issue" : "10", "issued" : { "date-parts" : [ [ "2015" ] ] }, "page" : "2127-2136", "title" : "Study of implementation and direct cost estimates for diagnostic tests for human visceral leishmaniasis in an urban area in Brazil", "type" : "article-journal", "volume" : "31" }, "uris" : [ "http://www.mendeley.com/documents/?uuid=85e7cf18-1f7b-4925-b15f-7e150be5cbd6" ] }, { "id" : "ITEM-7",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"ITEM-7", "issue" : "11", "issued" : { "date-parts" : [ [ "2006" ] ] }, "page" : "1715-1724", "title" : "Costs of patient management of visceral leishmaniasis in Muzaffarpur, Bihar, India", "type" : "article-journal", "volume" : "11" }, "uris" : [ "http://www.mendeley.com/documents/?uuid=a86ed722-aef8-4400-95c7-0955b488c117" ] }, { "id" : "ITEM-8", "itemData" : { "DOI" : "10.1111/j.1365-3156.2010.02564.x", "ISBN" : "1365-3156 (Electronic)\\r1360-2276 (Linking)", "ISSN" : "13602276", "PMID" : "20591079", "author" : [ { "dropping-particle" : "", "family" : "Meheus", "given" : "F.", "non-dropping-particle" : "", "parse-names" : false, "suffix" : "" }, { "dropping-particle" : "", "family" : "Boelaert", "given" : "M", "non-dropping-particle" : "", "parse-names" : false, "suffix" : "" } ], "container-title" : "Tropical Medicine &amp; International Health", "id" : "ITEM-8", "issue" : "july", "issued" : { "date-parts" : [ [ "2010" ] ] }, "page" : "1-3", "title" : "The burden of visceral leishmaniasis in South Asia", "type" : "article-journal", "volume" : "15" }, "uris" : [ "http://www.mendeley.com/documents/?uuid=a28fda0c-fcf7-4a61-a46d-fe78c7616891" ] }, { "id" : "ITEM-9", "itemData" : { "DOI" : "10.4269/ajtmh.12-0585", "ISBN" : "0002-9637", "ISSN" : "00029637", "PMID" : "24189368", "abstract" : "Visceral leishmaniasis (VL) is a neglected parasitic disease that is fatal if left untreated and is endemic in eastern Sudan. We estimated the direct and indirect costs of treatment of VL from the perspective of the provider and the household at three public hospitals in Gedaref State. The median total cost for one VL episode was estimated to be US$450. Despite the free provision of VL drugs at public hospitals, households bore 53% of the total cost of VL with one episode of VL representing 40% of the annual household income. More than 75% of households incurred catastrophic out-of-pocket expenditures. The length of treatment of 30 days led to important costs for both health providers and households. Alternative treatment regimens that reduce the duration of treatment are urgently needed.", "author" : [ { "dropping-particle" : "", "family" : "Meheus", "given" : "Filip", "non-dropping-particle" : "", "parse-names" : false, "suffix" : "" }, { "dropping-particle" : "", "family" : "Abuzaid", "given" : "Abuzaid A.", "non-dropping-particle" : "", "parse-names" : false, "suffix" : "" }, { "dropping-particle" : "", "family" : "Baltussen", "given" : "Rob", "non-dropping-particle" : "", "parse-names" : false, "suffix" : "" }, { "dropping-particle" : "", "family" : "Younis", "given" : "Brima M.", "non-dropping-particle" : "", "parse-names" : false, "suffix" : "" }, { "dropping-particle" : "", "family" : "Balasegaram", "given" : "Manica", "non-dropping-particle" : "", "parse-names" : false, "suffix" : "" }, { "dropping-particle" : "", "family" : "Khalil", "given" : "Eltahir A G", "non-dropping-particle" : "", "parse-names" : false, "suffix" : "" }, { "dropping-particle" : "", "family" : "Boelaert", "given" : "Marleen", "non-dropping-particle" : "", "parse-names" : false, "suffix" : "" }, { "dropping-particle" : "", "family" : "Musa", "given" : "Ahmed M.", "non-dropping-particle" : "", "parse-names" : false, "suffix" : "" } ], "container-title" : "American Journal of Tropical Medicine and Hygiene", "id" : "ITEM-9", "issue" : "6", "issued" : { "date-parts" : [ [ "2013" ] ] }, "page" : "1146-1153", "title" : "The economic burden of visceral leishmaniasis in Sudan: An assessment of provider and household costs", "type" : "article-journal", "volume" : "89" }, "uris" : [ "http://www.mendeley.com/documents/?uuid=68e058bb-82ea-4491-81d6-9da1a469f670" ] }, { "id" : "ITEM-10", "itemData" : { "DOI" : "10.1111/j.1365-3156.2010.02520.x", "ISBN" : "1365-3156 (Electronic)\\n1360-2276 (Linking)", "ISSN" : "13602276", "PMID" : "20487419", "abstract" : "Objective\u2002 To determine the cost of kala-azar (KA) to patients in Bihar, India. Method\u2002 A semi-structured questionnaire was used to collect costs of illness \u2013 direct (medical; non-medical) and indirect costs (work days lost). After screening the community known to be endemic for visceral leishmaniasis (VL), households (HHs) with VL were recruited which reported a case of KA who received treatment between September 2005 and September 2006. The total costs were calculated as a summation of individual costs category. Medians were estimated for the total and for each of the cost categories. Result\u2002 Data from 171 HHs and 183 patients revealed that median age of patients with KA was 18; 59% were men; 33% were employed; household size was 7; household median monthly income was $38. The median total costs per patient were $127, equal to &gt;3\u00a0months of income, of which medical care comprised $83 (provider fees $13, medicines $50, diagnostics $9, hospital stay $30); and food and transport comprised $33. Patients also lost almost 2\u00a0weeks of work time during illness and even after recovery. Conclusion\u2002 Despite provision of free/subsidized medicines, diagnostics, and hospital stay at public and Non-Governmental Organization facilities, the impoverished HHs of Bihar with a case of KA incur high expenditures. Easier access to, and more use of free public health services, plus innovative health financing schemes, are urgently required.", "author" : [ { "dropping-particle" : "", "family" : "Sundar", "given" : "Shyam", "non-dropping-particle" : "", "parse-names" : false, "suffix" : "" }, { "dropping-particle" : "", "family" : "Arora", "given" : "Rakesh", "non-dropping-particle" : "", "parse-names" : false, "suffix" : "" }, { "dropping-particle" : "", "family" : "Singh", "given" : "S. P.", "non-dropping-particle" : "", "parse-names" : false, "suffix" : "" }, { "dropping-particle" : "", "family" : "Boelaert", "given" : "Marleen", "non-dropping-particle" : "", "parse-names" : false, "suffix" : "" }, { "dropping-particle" : "", "family" : "Varghese", "given" : "Beena", "non-dropping-particle" : "", "parse-names" : false, "suffix" : "" } ], "container-title" : "Tropical Medicine and International Health", "id" : "ITEM-10", "issue" : "SUPPL. 2", "issued" : { "date-parts" : [ [ "2010" ] ] }, "page" : "50-54", "title" : "Household cost-of-illness of visceral leishmaniasis in Bihar, India", "type" : "article-journal", "volume" : "15" }, "uris" : [ "http://www.mendeley.com/documents/?uuid=c32ca97e-121a-41df-8787-ba41b8601fa4" ] }, { "id" : "ITEM-11", "itemData" : { "DOI" : "10.1371/journal.pntd.0002062", "ISBN" : "1935-2735 (Electronic)\\r1935-2727 (Linking)", "ISSN" : "19352735", "PMID" : "23469298", "abstract" : "BACKGROUND AND OBJECTIVES: Visceral leishmaniasis (VL) is an important public health problem in south-eastern Nepal affecting very poor rural communities. Since 2005, Nepal is involved in a regional initiative to eliminate VL. This study assessed the economic impact of VL on households and examined whether the intensified VL control efforts induced by the government resulted in a decrease in household costs. METHODS: Between August and September 2010, a household survey was conducted among 168 patients that had been treated for VL within 12 months prior to the survey in five districts in south-eastern Nepal. We collected data on health-seeking behaviour, direct and indirect costs and coping strategies. RESULTS: The median total cost of one episode of VL was US$ 165 or 11% of annual household income. The median delay between the onset of symptoms and presentation to a qualified provider was 25 days. Once the patient presented to a qualified provider, the delay to correct diagnosis was minimal (median 3 days). Direct and indirect costs (income losses) represented 47% and 53% of total costs respectively. Households used multiple strategies to cope with the cost of illness, mainly mobilizing cash/savings (71%) or taking a loan (56%). CONCLUSIONS: The provision of free VL diagnosis and drugs by the Nepalese control programme has been an important policy measure to reduce the cost of VL to households. But despite the free VL drugs, the economic burden is still important for households. More effort should be put into reducing indirect costs, in particular the length of treatment, and preventing the transmission of VL through vector control.", "author" : [ { "dropping-particle" : "", "family" : "Uranw", "given" : "Surendra", "non-dropping-particle" : "", "parse-names" : false, "suffix" : "" }, { "dropping-particle" : "", "family" : "Meheus", "given" : "Filip", "non-dropping-particle" : "", "parse-names" : false, "suffix" : "" }, { "dropping-particle" : "", "family" : "Baltussen", "given" : "Rob", "non-dropping-particle" : "", "parse-names" : false, "suffix" : "" }, { "dropping-particle" : "", "family" : "Rijal", "given" : "Suman", "non-dropping-particle" : "", "parse-names" : false, "suffix" : "" }, { "dropping-particle" : "", "family" : "Boelaert", "given" : "Marleen", "non-dropping-particle" : "", "parse-names" : false, "suffix" : "" } ], "container-title" : "PLoS Neglected Tropical Diseases", "id" : "ITEM-11", "issue" : "2", "issued" : { "date-parts" : [ [ "2013" ] ] }, "title" : "The Household Costs of Visceral Leishmaniasis Care in South-eastern Nepal", "type" : "article-journal", "volume" : "7" }, "uris" : [ "http://www.mendeley.com/documents/?uuid=311dc900-0065-4b5e-819e-d6f698058de3" ] } ], "mendeley" : { "formattedCitation" : "(Boelaert et al., 2009; Das et al., 2008; de Carvalho et al., 2017; Gradoni et al., 2008; Lee et al., 2012; Assis et al., 2015; Meheus et al., 2006; Meheus and Boelaert, 2010; Meheus et al., 2013; Sundar et al., 2010; Uranw et al., 2013)", "plainTextFormattedCitation" : "(Boelaert et al., 2009; Das et al., 2008; de Carvalho et al., 2017; Gradoni et al., 2008; Lee et al., 2012; Assis et al., 2015; Meheus et al., 2006; Meheus and Boelaert, 2010; Meheus et al., 2013; Sundar et al., 2010; Uranw et al., 2013)", "previouslyFormattedCitation" : "(Boelaert et al., 2009; Das et al., 2008; de Carvalho et al., 2017; Gradoni et al., 2008; Lee et al., 2012; Assis et al., 2015; Meheus et al., 2006; Meheus and Boelaert, 2010; Meheus et al., 2013; Sundar et al., 2010; Uranw et al., 2013)" }, "properties" : {  }, "schema" : "https://github.com/citation-style-language/schema/raw/master/csl-citation.json" }</w:instrText>
      </w:r>
      <w:r>
        <w:fldChar w:fldCharType="separate"/>
      </w:r>
      <w:bookmarkStart w:id="173" w:name="__Fieldmark__1218_513475976"/>
      <w:r>
        <w:rPr>
          <w:rFonts w:ascii="Calibri" w:hAnsi="Calibri" w:asciiTheme="majorHAnsi" w:hAnsiTheme="majorHAnsi"/>
          <w:lang w:val="en-GB"/>
        </w:rPr>
        <w:t>(</w:t>
      </w:r>
      <w:bookmarkStart w:id="174" w:name="__Fieldmark__3881_903549581"/>
      <w:r>
        <w:rPr>
          <w:rFonts w:ascii="Calibri" w:hAnsi="Calibri" w:asciiTheme="majorHAnsi" w:hAnsiTheme="majorHAnsi"/>
          <w:lang w:val="en-GB"/>
        </w:rPr>
        <w:t>Boelaert et al., 2009; Das et al., 2008; de Carvalho et al., 2017; Gradoni et al., 2008; Lee et al., 2012; Assis et al., 2015; Meheus et al., 2006; Meheus and Boelaert, 2010; Meheus et al., 2013; Sundar et al., 2010; Uranw et al., 2013)</w:t>
      </w:r>
      <w:r>
        <w:rPr>
          <w:rFonts w:ascii="Calibri" w:hAnsi="Calibri" w:asciiTheme="majorHAnsi" w:hAnsiTheme="majorHAnsi"/>
          <w:lang w:val="en-GB"/>
        </w:rPr>
      </w:r>
      <w:r>
        <w:fldChar w:fldCharType="end"/>
      </w:r>
      <w:bookmarkEnd w:id="173"/>
      <w:bookmarkEnd w:id="174"/>
      <w:r>
        <w:rPr>
          <w:rFonts w:ascii="Calibri" w:hAnsi="Calibri" w:asciiTheme="majorHAnsi" w:hAnsiTheme="majorHAnsi"/>
          <w:lang w:val="en-GB"/>
        </w:rPr>
        <w:t xml:space="preserve">. Cost-effectiveness analyses have evaluated the adoption of new treatments, diagnostic tools or vaccines </w:t>
      </w:r>
      <w:r>
        <w:fldChar w:fldCharType="begin"/>
      </w:r>
      <w:r>
        <w:instrText>ADDIN CSL_CITATION { "citationItems" : [ { "id" : "ITEM-1", "itemData" : { "ISBN" : "0972-9062", "ISSN" : "09729062", "PMID" : "20834081", "abstract" : "Visceral leishmaniasis, locally known as kala-azar (KA) has been considered as a major public health problem in Bangladesh, India and Nepal that affects 100,000 people per year with 147 million people at risk. Elimination of infectious disease is an ultimate goal of the public health system, therefore, the efforts have recently gained momentum from various organizations and governments to expand KA interventions in the endemic countries. The paper aims to estimate discounted net benefits and internal rate of return (IRR) to evaluate the economic feasibility for elimination of KA by utilizing available secondary information.", "author" : [ { "dropping-particle" : "", "family" : "Adhikari", "given" : "Shiva Raj", "non-dropping-particle" : "", "parse-names" : false, "suffix" : "" }, { "dropping-particle" : "", "family" : "Supakankunti", "given" : "Sirsipen", "non-dropping-particle" : "", "parse-names" : false, "suffix" : "" } ], "container-title" : "Journal of Vector Borne Diseases", "id" : "ITEM-1", "issue" : "3", "issued" : { "date-parts" : [ [ "2010" ] ] }, "page" : "127-139", "title" : "A cost benefit analysis of elimination of kala-azar in Indian subcontinent: An example of Nepal", "type" : "article-journal", "volume" : "47" }, "uris" : [ "http://www.mendeley.com/documents/?uuid=0f43b6de-f4bb-496b-ad6b-ef47b4c32c94" ] }, { "id" : "ITEM-2", "itemData" : { "DOI" : "10.1371/journal.pone.0172465", "ISBN" : "1111111111", "ISSN" : "1932-6203", "author" : [ { "dropping-particle" : "", "family" : "Biswas", "given" : "Santanu", "non-dropping-particle" : "", "parse-names" : false, "suffix" : "" }, { "dropping-particle" : "", "family" : "Subramanian", "given" : "Abhishek", "non-dropping-particle" : "", "parse-names" : false, "suffix" : "" }, { "dropping-particle" : "", "family" : "ELMojtaba", "given" : "Ibrahim M.", "non-dropping-particle" : "", "parse-names" : false, "suffix" : "" }, { "dropping-particle" : "", "family" : "Chattopadhyay", "given" : "Joydev", "non-dropping-particle" : "", "parse-names" : false, "suffix" : "" }, { "dropping-particle" : "", "family" : "Sarkar", "given" : "Ram Rup", "non-dropping-particle" : "", "parse-names" : false, "suffix" : "" } ], "container-title" : "Plos One", "id" : "ITEM-2", "issue" : "2", "issued" : { "date-parts" : [ [ "2017" ] ] }, "page" : "e0172465", "title" : "Optimal combinations of control strategies and cost-effective analysis for visceral leishmaniasis disease transmission", "type" : "article-journal", "volume" : "12" }, "uris" : [ "http://www.mendeley.com/documents/?uuid=c0b5fa91-d13d-4077-88fc-840a4077295c" ] }, { "id" : "ITEM-3", "itemData" : { "ISSN" : "0042-9686", "PMID" : "10516788", "abstract" : "Reported are the results of a formal decision analysis which facilitated the choice of the most appropriate test-treatment strategy for visceral leishmaniasis in areas where the disease is endemic. The following strategies were compared: treatment of all suspects (strategy A); testing by means of parasitological investigation followed by treatment of positives (strategy B); two-step testing by means of the direct agglutination test (DAT) followed by treatment of patients with high titres as well as those with parasitologically confirmed borderline titres (strategy C); and DAT followed by treatment of positives (strategy D). The results for each strategy were expressed as costs in US$ per death averted. The effectiveness of strategies C and D was close to that of strategy A and far better than that of strategy B. The cost-effectiveness ratio for strategies C and D (US$ 465 per death averted) was not substantially higher than that of testing by means of parasitological investigation followed by treatment of positives (strategy B), which was the most cost-effective strategy at US$448 per death averted. At current prices of antimonial drugs, the cost of test-treatment strategies depends more on the cost of treatment than on that of testing. The use of a sensitive serological test such as the DAT is recommended as the basis of test-treatment strategies for visceral leishmaniasis in areas where the disease is endemic.\n\nThis paper reports the results of a formal decision analysis. This facilitates in choosing the most appropriate test-treatment strategy for visceral leishmaniasis in endemic areas. Four strategies were compared based on their cost-effectiveness expressed in US dollars per death averted. These strategies include: (A) testing by means of parasitological investigation followed by treatment of positives; (B) two-step testing by means of the direct agglutination test (DAT); (C) treatment of patients with high titers as well as those with parasitologically confirmed borderline titers; and (D) DAT followed by treatment of positives. The results showed that the effectiveness of strategies C and D was close to that of strategy A and far better than that of strategy B. The cost-effectiveness ratio for strategies C and D was US$465 per death averted, which is not substantially higher than that of strategy B, while strategy B is the most cost-effective at US$448 per death averted.", "author" : [ { "dropping-particle" : "", "family" : "Boelaert", "given" : "M", "non-dropping-particle" : "", "parse-names" : false, "suffix" : "" }, { "dropping-particle" : "", "family" : "Lynen", "given" : "L", "non-dropping-particle" : "", "parse-names" : false, "suffix" : "" }, { "dropping-particle" : "", "family" : "Desjeux", "given" : "P", "non-dropping-particle" : "", "parse-names" : false, "suffix" : "" }, { "dropping-particle" : "", "family" : "Stuyft", "given" : "P", "non-dropping-particle" : "Van der", "parse-names" : false, "suffix" : "" } ], "container-title" : "Bulletin of the World Health Organization", "id" : "ITEM-3", "issue" : "8", "issued" : { "date-parts" : [ [ "1999", "1" ] ] }, "page" : "667-74", "title" : "Cost-effectiveness of competing diagnostic-therapeutic strategies for visceral leishmaniasis.", "type" : "article-journal", "volume" : "77" }, "uris" : [ "http://www.mendeley.com/documents/?uuid=a19e94c0-126b-43b3-ac2a-7eb4162f2b6a" ] }, { "id" : "ITEM-4", "itemData" : { "DOI" : "10.1111/j.1365-3156.2012.03064.x", "ISBN" : "1360-2276 1365-3156", "ISSN" : "13602276", "PMID" : "22897740", "abstract" : "Objective To estimate the sensitivities and specificities of different diagnostic tests for visceral leishmaniasis (VL) using latent class analysis (LCA). Methods This study was performed using data from a prospective study conducted in four Brazilian states from May 2004 to May 2007. Five diagnostic tests for VL were evaluated in 285 VL cases and 119 non-cases: microscopy, indirect fluorescence antibody test (IFAT), enzyme-linked immunosorbent assay using recombinant K39 antigen (rK39-ELISA), direct agglutination test (DAT) and the rK39 rapid test. Results Microscopy showed sensitivity of 77.0% (CI: 71.581.5) and specificity of 99.0% (CI: 94.099.7). The IFAT and the DAT showed similar sensitivities, 88.3% (CI: 84.092.0) and 88.5% (CI: 84.192.0), respectively, but the DAT had a higher specificity (95.4%, CI: 89.298.1) than did the IFAT (83.0%, CI: 75.088.2). The rK39-ELISA and the rK39 rapid test showed sensitivities of 99.0% (CI: 96.399.6) and 94.0% (CI: 90.196.3), and specificities of 82.5% (CI: 75.088.3) and 100% (CI: 97.0100.0%), respectively. Conclusions Considering the lack of an adequate reference standard, LCA proved to be a useful tool in validating diagnostic methods for VL. The DAT and the rK39 rapid test showed better performance. Thus, clinically suspected cases of VL in a Brazilian endemic area could be treated based on the positivity of one of these tests.", "author" : [ { "dropping-particle" : "de", "family" : "Assis", "given" : "T\u00e1lia Santana Machado", "non-dropping-particle" : "", "parse-names" : false, "suffix" : "" }, { "dropping-particle" : "", "family" : "Rabello", "given" : "Ana", "non-dropping-particle" : "", "parse-names" : false, "suffix" : "" }, { "dropping-particle" : "", "family" : "Werneck", "given" : "Guilherme Loureiro", "non-dropping-particle" : "", "parse-names" : false, "suffix" : "" } ], "container-title" : "Tropical Medicine and International Health", "id" : "ITEM-4", "issue" : "10", "issued" : { "date-parts" : [ [ "2016" ] ] }, "page" : "1202-1207", "title" : "Cost-effective analysis of diagnostic tests for human visceral leishmaniasis in Brazil", "type" : "article-journal", "volume" : "17" }, "uris" : [ "http://www.mendeley.com/documents/?uuid=f08cdb4a-fb44-43ab-bfa9-d5d597222065" ] }, { "id" : "ITEM-5",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"ITEM-5", "issue" : "1", "issued" : { "date-parts" : [ [ "2005" ] ] }, "page" : "26-30", "title" : "Treatment of paediatric visceral leishmaniasis: Amphotericin B or pentavalent antimony compounds?", "type" : "article-journal", "volume" : "25" }, "uris" : [ "http://www.mendeley.com/documents/?uuid=50794321-5616-443d-a00a-08707a4ed73b" ] }, { "id" : "ITEM-6", "itemData" : { "DOI" : "10.3201/eid1310.060358", "ISBN" : "1080-6059", "ISSN" : "10806040", "PMID" : "18257991", "abstract" : "The control of Trypanosoma brucei gambiense human African trypanosomiasis (HAT) is compromised by low sensitivity of the routinely used parasitologic confirmation tests. More sensitive alternatives, such as mini-anion exchange centrifugation technique (mAECT) or capillary tube centrifugation (CTC), are more expensive. We used formal decision analysis to assess the cost-effectiveness of alternative HAT confirmation algorithms in terms of cost per life saved. The effectiveness of the standard method, a combination of lymph node puncture (LNP), fresh blood examination (FBE), and thick blood film (TBF), was 36.8%; the LNP-FBE-CTC-mAECT sequence reached almost 80%. The cost per person examined ranged from euro1.56 for LNP-FBE-TBF to euro2.99 for LNP-TBF-CTC-mAECT-CATT (card agglutination test for trypanosomiasis) titration. LNP-TBF-CTC-mAECT was the most cost-effective in terms of cost per life saved. HAT confirmation algorithms that incorporate concentration techniques are more effective and efficient than the algorithms that are currently and routinely used by several T.b. gambiense control programs.", "author" : [ { "dropping-particle" : "", "family" : "Lutumba", "given" : "Pascal", "non-dropping-particle" : "", "parse-names" : false, "suffix" : "" }, { "dropping-particle" : "", "family" : "Meheus", "given" : "Filip", "non-dropping-particle" : "", "parse-names" : false, "suffix" : "" }, { "dropping-particle" : "", "family" : "Robays", "given" : "Jo", "non-dropping-particle" : "", "parse-names" : false, "suffix" : "" }, { "dropping-particle" : "", "family" : "Miaka", "given" : "Constantin", "non-dropping-particle" : "", "parse-names" : false, "suffix" : "" }, { "dropping-particle" : "", "family" : "Kande", "given" : "Victor", "non-dropping-particle" : "", "parse-names" : false, "suffix" : "" }, { "dropping-particle" : "", "family" : "B\u00fcscher", "given" : "Philippe", "non-dropping-particle" : "", "parse-names" : false, "suffix" : "" }, { "dropping-particle" : "", "family" : "Dujardin", "given" : "Bruno", "non-dropping-particle" : "", "parse-names" : false, "suffix" : "" }, { "dropping-particle" : "", "family" : "Boelaert", "given" : "Marleen", "non-dropping-particle" : "", "parse-names" : false, "suffix" : "" } ], "container-title" : "Emerging Infectious Diseases", "id" : "ITEM-6", "issue" : "10", "issued" : { "date-parts" : [ [ "2007" ] ] }, "page" : "1484-1490", "title" : "Cost-effectiveness of algorithms for confirmation test of human African trypanosomiasis", "type" : "article-journal", "volume" : "13" }, "uris" : [ "http://www.mendeley.com/documents/?uuid=68c46860-8395-4d5c-b092-d0dc22a1fba6" ] }, { "id" : "ITEM-7", "itemData" : { "DOI" : "10.1371/journal.pntd.0000818", "ISSN" : "1935-2735", "PMID" : "20838649", "abstract" : "BACKGROUND: Visceral leishmaniasis is a systemic parasitic disease that is fatal unless treated. We assessed the cost and cost-effectiveness of alternative strategies for the treatment of visceral leishmaniasis in the Indian subcontinent. In particular we examined whether combination therapies are a cost-effective alternative compared to monotherapies.\n\nMETHODS AND FINDINGS: We assessed the cost-effectiveness of all possible mono- and combination therapies for the treatment of visceral leishmaniasis in the Indian subcontinent (India, Nepal and Bangladesh) from a societal perspective using a decision analytical model based on a decision tree. Primary data collected in each country was combined with data from the literature and an expert poll (Delphi method). The cost per patient treated and average and incremental cost-effectiveness ratios expressed as cost per death averted were calculated. Extensive sensitivity analysis was done to evaluate the robustness of our estimations and conclusions. With a cost of US$92 per death averted, the combination miltefosine-paromomycin was the most cost-effective treatment strategy. The next best alternative was a combination of liposomal amphotericin B with paromomycin with an incremental cost-effectiveness of $652 per death averted. All other strategies were dominated with the exception of a single dose of 10mg per kg of liposomal amphotericin B. While strategies based on liposomal amphotericin B (AmBisome) were found to be the most effective, its current drug cost of US$20 per vial resulted in a higher average cost-effectiveness. Sensitivity analysis showed the conclusion to be robust to variations in the input parameters over their plausible range.\n\nCONCLUSIONS: Combination treatments are a cost-effective alternative to current monotherapy for VL. Given their expected impact on the emergence of drug resistance, a switch to combination therapy should be considered once final results from clinical trials are available.", "author" : [ { "dropping-particle" : "", "family" : "Meheus", "given" : "Filip", "non-dropping-particle" : "", "parse-names" : false, "suffix" : "" }, { "dropping-particle" : "", "family" : "Balasegaram", "given" : "Manica", "non-dropping-particle" : "", "parse-names" : false, "suffix" : "" }, { "dropping-particle" : "", "family" : "Olliaro", "given" : "Piero", "non-dropping-particle" : "", "parse-names" : false, "suffix" : "" }, { "dropping-particle" : "", "family" : "Sundar", "given" : "Shyam", "non-dropping-particle" : "", "parse-names" : false, "suffix" : "" }, { "dropping-particle" : "", "family" : "Rijal", "given" : "Suman", "non-dropping-particle" : "", "parse-names" : false, "suffix" : "" }, { "dropping-particle" : "", "family" : "Faiz", "given" : "Md Abul", "non-dropping-particle" : "", "parse-names" : false, "suffix" : "" }, { "dropping-particle" : "", "family" : "Boelaert", "given" : "Marleen", "non-dropping-particle" : "", "parse-names" : false, "suffix" : "" } ], "container-title" : "PLoS neglected tropical diseases", "id" : "ITEM-7", "issue" : "9", "issued" : { "date-parts" : [ [ "2010", "1" ] ] }, "title" : "Cost-effectiveness analysis of combination therapies for visceral leishmaniasis in the Indian subcontinent.", "type" : "article-journal", "volume" : "4" }, "uris" : [ "http://www.mendeley.com/documents/?uuid=bbd39a60-ac6a-44ed-b663-3114b4d73063" ] }, { "id" : "ITEM-8", "itemData" : { "DOI" : "10.1111/j.1365-3156.2009.02306.x", "ISSN" : "1365-3156", "PMID" : "19563434", "abstract" : "OBJECTIVES: To assess the cost-effectiveness of current monotherapies and prospective combinations for treating visceral leishmaniasis (VL) in Bihar, India in terms of years of life lost (YLL) averted as well as deaths averted.\n\nMETHODS: We employed two methods to estimate the number of avertable deaths in our analysis: one using estimated mortality, the other using direct incidence estimates for VL. Costs of care are based on an average private hospital in Bihar, and data on drug costs were obtained both locally and from the World Health Organization.\n\nRESULTS: The cost of monotherapies per averted YLL ranged from US$2 for paromomycin in an outpatient setting to US$20-22 for AmBisome at 20 mg/kg. The corresponding costs per death averted ranged from US$53-54 to US$523-527. Combinations ranged US$5-8 per YLL averted and US$124-213 per death averted.\n\nCONCLUSION: The available treatments for VL are cost-effective, and our mortality and incidence-based methods produce consistent estimates. The combinations considered here were more cost-effective than most monotherapies. Having multiple treatment options and combining drugs are also likely to reduce drug pressure and prolong the drugs' life-span of effective use.", "author" : [ { "dropping-particle" : "", "family" : "Olliaro", "given" : "Piero", "non-dropping-particle" : "", "parse-names" : false, "suffix" : "" }, { "dropping-particle" : "", "family" : "Darley", "given" : "Sarah", "non-dropping-particle" : "", "parse-names" : false, "suffix" : "" }, { "dropping-particle" : "", "family" : "Laxminarayan", "given" : "Ramanan", "non-dropping-particle" : "", "parse-names" : false, "suffix" : "" }, { "dropping-particle" : "", "family" : "Sundar", "given" : "Shyam", "non-dropping-particle" : "", "parse-names" : false, "suffix" : "" } ], "container-title" : "Tropical medicine &amp; international health : TM &amp; IH", "id" : "ITEM-8", "issue" : "8", "issued" : { "date-parts" : [ [ "2009", "8" ] ] }, "page" : "918-25", "title" : "Cost-effectiveness projections of single and combination therapies for visceral leishmaniasis in Bihar, India.", "type" : "article-journal", "volume" : "14" }, "uris" : [ "http://www.mendeley.com/documents/?uuid=83aed11f-24aa-426b-b0b7-0a72be2c7694" ] } ], "mendeley" : { "formattedCitation" : "(Adhikari and Supakankunti, 2010; Biswas et al., 2017; Boelaert et al., 1999; Assis et al., 2016; Kafetzis et al., 2005; Lutumba et al., 2007; Meheus et al., 2010; Olliaro et al., 2009)", "plainTextFormattedCitation" : "(Adhikari and Supakankunti, 2010; Biswas et al., 2017; Boelaert et al., 1999; Assis et al., 2016; Kafetzis et al., 2005; Lutumba et al., 2007; Meheus et al., 2010; Olliaro et al., 2009)", "previouslyFormattedCitation" : "(Adhikari and Supakankunti, 2010; Biswas et al., 2017; Boelaert et al., 1999; Assis et al., 2016; Kafetzis et al., 2005; Lutumba et al., 2007; Meheus et al., 2010; Olliaro et al., 2009)" }, "properties" : {  }, "schema" : "https://github.com/citation-style-language/schema/raw/master/csl-citation.json" }</w:instrText>
      </w:r>
      <w:r>
        <w:fldChar w:fldCharType="separate"/>
      </w:r>
      <w:bookmarkStart w:id="175" w:name="__Fieldmark__1225_513475976"/>
      <w:r>
        <w:rPr>
          <w:rFonts w:ascii="Calibri" w:hAnsi="Calibri" w:asciiTheme="majorHAnsi" w:hAnsiTheme="majorHAnsi"/>
          <w:lang w:val="en-GB"/>
        </w:rPr>
        <w:t>(</w:t>
      </w:r>
      <w:bookmarkStart w:id="176" w:name="__Fieldmark__3896_903549581"/>
      <w:r>
        <w:rPr>
          <w:rFonts w:ascii="Calibri" w:hAnsi="Calibri" w:asciiTheme="majorHAnsi" w:hAnsiTheme="majorHAnsi"/>
          <w:lang w:val="en-GB"/>
        </w:rPr>
        <w:t>Adhikari and Supakankunti, 2010; Biswas et al., 2017; Boelaert et al., 1999; Assis et al., 2016; Kafetzis et al., 2005; Lutumba et al., 2007; Meheus et al., 2010; Olliaro et al., 2009)</w:t>
      </w:r>
      <w:r>
        <w:rPr>
          <w:rFonts w:ascii="Calibri" w:hAnsi="Calibri" w:asciiTheme="majorHAnsi" w:hAnsiTheme="majorHAnsi"/>
          <w:lang w:val="en-GB"/>
        </w:rPr>
      </w:r>
      <w:r>
        <w:fldChar w:fldCharType="end"/>
      </w:r>
      <w:bookmarkEnd w:id="175"/>
      <w:bookmarkEnd w:id="176"/>
      <w:r>
        <w:rPr>
          <w:rFonts w:ascii="Calibri" w:hAnsi="Calibri" w:asciiTheme="majorHAnsi" w:hAnsiTheme="majorHAnsi"/>
          <w:lang w:val="en-GB"/>
        </w:rPr>
        <w:t xml:space="preserve">. However, very few studies have deepened into other economic approaches, such as analysing the social determinants of the disease </w:t>
      </w:r>
      <w:r>
        <w:fldChar w:fldCharType="begin"/>
      </w:r>
      <w:r>
        <w:instrText>ADDIN CSL_CITATION { "citationItems" : [ { "id" : "ITEM-1", "itemData" : { "author" : [ { "dropping-particle" : "", "family" : "Mendes", "given" : "Chrystian Soares", "non-dropping-particle" : "", "parse-names" : false, "suffix" : "" }, { "dropping-particle" : "", "family" : "Lopes", "given" : "Luckas Sabioni", "non-dropping-particle" : "", "parse-names" : false, "suffix" : "" }, { "dropping-particle" : "", "family" : "Toyoshima", "given" : "Silvia Harumi", "non-dropping-particle" : "", "parse-names" : false, "suffix" : "" } ], "container-title" : "Revista de Economia e Agroneg\u00f3cio", "id" : "ITEM-1", "issue" : "1", "issued" : { "date-parts" : [ [ "2011" ] ] }, "page" : "101-122", "title" : "Determinantes sociais da Leishmaniose Visceral no norte de Minas Gerais", "type" : "article-journal", "volume" : "9" }, "uris" : [ "http://www.mendeley.com/documents/?uuid=2a4e5acc-ba20-4b72-92cd-1920a53253b1" ] } ], "mendeley" : { "formattedCitation" : "(Mendes et al., 2011)", "plainTextFormattedCitation" : "(Mendes et al., 2011)", "previouslyFormattedCitation" : "(Mendes et al., 2011)" }, "properties" : {  }, "schema" : "https://github.com/citation-style-language/schema/raw/master/csl-citation.json" }</w:instrText>
      </w:r>
      <w:r>
        <w:fldChar w:fldCharType="separate"/>
      </w:r>
      <w:bookmarkStart w:id="177" w:name="__Fieldmark__1232_513475976"/>
      <w:r>
        <w:rPr>
          <w:rFonts w:ascii="Calibri" w:hAnsi="Calibri" w:asciiTheme="majorHAnsi" w:hAnsiTheme="majorHAnsi"/>
          <w:lang w:val="en-GB"/>
        </w:rPr>
        <w:t>(</w:t>
      </w:r>
      <w:bookmarkStart w:id="178" w:name="__Fieldmark__3913_903549581"/>
      <w:r>
        <w:rPr>
          <w:rFonts w:ascii="Calibri" w:hAnsi="Calibri" w:asciiTheme="majorHAnsi" w:hAnsiTheme="majorHAnsi"/>
          <w:lang w:val="en-GB"/>
        </w:rPr>
        <w:t>Mendes et al., 2011)</w:t>
      </w:r>
      <w:r>
        <w:rPr>
          <w:rFonts w:ascii="Calibri" w:hAnsi="Calibri" w:asciiTheme="majorHAnsi" w:hAnsiTheme="majorHAnsi"/>
          <w:lang w:val="en-GB"/>
        </w:rPr>
      </w:r>
      <w:r>
        <w:fldChar w:fldCharType="end"/>
      </w:r>
      <w:bookmarkEnd w:id="177"/>
      <w:bookmarkEnd w:id="178"/>
      <w:r>
        <w:rPr>
          <w:rFonts w:ascii="Calibri" w:hAnsi="Calibri" w:asciiTheme="majorHAnsi" w:hAnsiTheme="majorHAnsi"/>
          <w:lang w:val="en-GB"/>
        </w:rPr>
        <w:t xml:space="preserve">, the impact of vector-control management </w:t>
      </w:r>
      <w:r>
        <w:fldChar w:fldCharType="begin"/>
      </w:r>
      <w:r>
        <w:instrText>ADDIN CSL_CITATION { "citationItems" : [ { "id" : "ITEM-1", "itemData" : { "DOI" : "10.1016/j.healthpol.2008.01.011", "ISBN" : "0168-8510 (Print)\\r0168-8510 (Linking)", "ISSN" : "01688510", "PMID" : "18342389", "abstract" : "Objectives: Kala-azar or visceral leishmaniasis is one of the major vector-borne diseases in Bangladesh. The disease is transmitted by sandfly. The incidence of the disease, which has been increasing since the early eighties, must be reduced by taking adequate vector-control measures. The objective of the present study was to identify the favorable factors and the constraints of present vector-control management in Bangladesh. Methods: Purposively selected senior entomologist and retired senior entomologist at central level, civil surgeons, entotechnicians, health inspectors and spray men from kala-azar-endemic districts, community leaders, and NGO representatives were key informants of the study. A household survey to learn about knowledge and perceptions of the people about kala-azar vector was carried out, using a structured questionnaire, in 202 randomly selected households. Results: Practically, there was no vector-control activity in the nine most kala-azar-endemic districts of Bangladesh. Inadequate human resources, lack of logistics, and unavailability of funds for vector control were the major constraints. Community perception about kala-azar vector was poor. However, the use of bednets in the community was high. No private organization was involved in kala-azar vector control. Knowledge of the spray men about the insecticide-spraying technique was also unsatisfactory. Conclusion: Kala-azar vector control in Bangladesh needs immediate attention of policy-makers and donors, otherwise, elimination of kala-azar from the country by 2015 may not be achievable. \u00a9 2008 Elsevier Ireland Ltd. All rights reserved.", "author" : [ { "dropping-particle" : "", "family" : "Mondal", "given" : "Dinesh", "non-dropping-particle" : "", "parse-names" : false, "suffix" : "" }, { "dropping-particle" : "", "family" : "Alam", "given" : "Mohammad Shafiul", "non-dropping-particle" : "", "parse-names" : false, "suffix" : "" }, { "dropping-particle" : "", "family" : "Karim", "given" : "Zehadul", "non-dropping-particle" : "", "parse-names" : false, "suffix" : "" }, { "dropping-particle" : "", "family" : "Haque", "given" : "Rashidul", "non-dropping-particle" : "", "parse-names" : false, "suffix" : "" }, { "dropping-particle" : "", "family" : "Boelaert", "given" : "Marleen", "non-dropping-particle" : "", "parse-names" : false, "suffix" : "" }, { "dropping-particle" : "", "family" : "Kroeger", "given" : "Axel", "non-dropping-particle" : "", "parse-names" : false, "suffix" : "" } ], "container-title" : "Health Policy", "id" : "ITEM-1", "issue" : "3", "issued" : { "date-parts" : [ [ "2008" ] ] }, "page" : "369-376", "title" : "Present situation of vector-control management in Bangladesh: A wake up call", "type" : "article-journal", "volume" : "87" }, "uris" : [ "http://www.mendeley.com/documents/?uuid=60b231f1-af10-4f03-b2fd-becbcb909d9a" ] } ], "mendeley" : { "formattedCitation" : "(Mondal et al., 2008)", "plainTextFormattedCitation" : "(Mondal et al., 2008)", "previouslyFormattedCitation" : "(Mondal et al., 2008)" }, "properties" : {  }, "schema" : "https://github.com/citation-style-language/schema/raw/master/csl-citation.json" }</w:instrText>
      </w:r>
      <w:r>
        <w:fldChar w:fldCharType="separate"/>
      </w:r>
      <w:bookmarkStart w:id="179" w:name="__Fieldmark__1239_513475976"/>
      <w:r>
        <w:rPr>
          <w:rFonts w:ascii="Calibri" w:hAnsi="Calibri" w:asciiTheme="majorHAnsi" w:hAnsiTheme="majorHAnsi"/>
          <w:lang w:val="en-GB"/>
        </w:rPr>
        <w:t>(</w:t>
      </w:r>
      <w:bookmarkStart w:id="180" w:name="__Fieldmark__3921_903549581"/>
      <w:r>
        <w:rPr>
          <w:rFonts w:ascii="Calibri" w:hAnsi="Calibri" w:asciiTheme="majorHAnsi" w:hAnsiTheme="majorHAnsi"/>
          <w:lang w:val="en-GB"/>
        </w:rPr>
        <w:t>Mondal et al., 2008)</w:t>
      </w:r>
      <w:r>
        <w:rPr>
          <w:rFonts w:ascii="Calibri" w:hAnsi="Calibri" w:asciiTheme="majorHAnsi" w:hAnsiTheme="majorHAnsi"/>
          <w:lang w:val="en-GB"/>
        </w:rPr>
      </w:r>
      <w:r>
        <w:fldChar w:fldCharType="end"/>
      </w:r>
      <w:bookmarkEnd w:id="179"/>
      <w:bookmarkEnd w:id="180"/>
      <w:r>
        <w:rPr>
          <w:rFonts w:ascii="Calibri" w:hAnsi="Calibri" w:asciiTheme="majorHAnsi" w:hAnsiTheme="majorHAnsi"/>
          <w:lang w:val="en-GB"/>
        </w:rPr>
        <w:t xml:space="preserve">, or the effect of political conflict on the disease </w:t>
      </w:r>
      <w:r>
        <w:fldChar w:fldCharType="begin"/>
      </w:r>
      <w:r>
        <w:instrText>ADDIN CSL_CITATION { "citationItems" : [ { "id" : "ITEM-1", "itemData" : { "DOI" : "10.1016/j.socscimed.2016.04.038", "ISSN" : "18735347", "abstract" : "Background Leishmaniasis has been estimated to cause the ninth largest burden amongst global infectious diseases. Occurrence of the disease has been anecdotally associated with periods of conflict, leading to its referral as a disease of \u2018guerrilla warfare.\u2019 Despite this, there have been few studies that quantitatively investigate the extent to which leishmaniasis coincides with conflict or political terror. Methodology This study employed a longitudinal approach to empirically test for an association between cutaneous and visceral leishmaniasis incidence with occurrence of conflict and political terror at the national level, annually for 15 years (1995\u20132010). Leishmaniasis incidence data were collected for 54 countries, and combined with UCDP/PRIO Armed Conflict and Amnesty International political terror datasets. Mixed effects negative binomial regression models clustered at the country-level were constructed to evaluate the incidence rate ratios against the predictors, while controlling for wealth. Additionally, to understand how and why conflict-terror may be associated with leishmaniasis incidence, we conducted a historical analysis. We identify and discuss posited causal mechanisms in the literature, and critically assessed pathways by which leishmaniasis might occur in places and times of conflict-terror. Results There was a significant dose-response relationship for disease incidence based on increasing levels of conflict and terror. Country-years experiencing very high levels of conflict-terror were associated with a 2.38 times higher [95% CI: 1.40\u20134.05] and 6.02 times higher [95% CI: 2.39\u201315.15] incidence of cutaneous and visceral leishmaniasis, respectively. Historical analysis indicated that conflict and terror contribute to\u2014or coincide with\u2014leishmaniasis incidence through processes of population displacement and health system deterioration. Conclusions This research highlights the potentially increased risks for cutaneous and visceral leishmaniasis incidence in areas of high conflict-terror. Notably, conflict-terror may act as an empirical proxy for indirect and concomitant processes of social breakdown, migration, and instability, which emerge as the dominant processes associated with disease incidence.", "author" : [ { "dropping-particle" : "", "family" : "Berry", "given" : "Isha", "non-dropping-particle" : "", "parse-names" : false, "suffix" : "" }, { "dropping-particle" : "", "family" : "Berrang-Ford", "given" : "Lea", "non-dropping-particle" : "", "parse-names" : false, "suffix" : "" } ], "container-title" : "Social Science and Medicine", "id" : "ITEM-1", "issued" : { "date-parts" : [ [ "2016" ] ] }, "page" : "140-149", "publisher" : "Elsevier Ltd", "title" : "Leishmaniasis, conflict, and political terror: A spatio-temporal analysis", "type" : "article-journal", "volume" : "167" }, "uris" : [ "http://www.mendeley.com/documents/?uuid=75fab294-195e-415f-b5b8-e371a71150dc" ] } ], "mendeley" : { "formattedCitation" : "(Berry and Berrang-Ford, 2016)", "plainTextFormattedCitation" : "(Berry and Berrang-Ford, 2016)", "previouslyFormattedCitation" : "(Berry and Berrang-Ford, 2016)" }, "properties" : {  }, "schema" : "https://github.com/citation-style-language/schema/raw/master/csl-citation.json" }</w:instrText>
      </w:r>
      <w:r>
        <w:fldChar w:fldCharType="separate"/>
      </w:r>
      <w:bookmarkStart w:id="181" w:name="__Fieldmark__1246_513475976"/>
      <w:r>
        <w:rPr>
          <w:rFonts w:ascii="Calibri" w:hAnsi="Calibri" w:asciiTheme="majorHAnsi" w:hAnsiTheme="majorHAnsi"/>
          <w:lang w:val="en-GB"/>
        </w:rPr>
        <w:t>(</w:t>
      </w:r>
      <w:bookmarkStart w:id="182" w:name="__Fieldmark__3928_903549581"/>
      <w:r>
        <w:rPr>
          <w:rFonts w:ascii="Calibri" w:hAnsi="Calibri" w:asciiTheme="majorHAnsi" w:hAnsiTheme="majorHAnsi"/>
          <w:lang w:val="en-GB"/>
        </w:rPr>
        <w:t>Berry and Berrang-Ford, 2016)</w:t>
      </w:r>
      <w:r>
        <w:rPr>
          <w:rFonts w:ascii="Calibri" w:hAnsi="Calibri" w:asciiTheme="majorHAnsi" w:hAnsiTheme="majorHAnsi"/>
          <w:lang w:val="en-GB"/>
        </w:rPr>
      </w:r>
      <w:r>
        <w:fldChar w:fldCharType="end"/>
      </w:r>
      <w:bookmarkEnd w:id="181"/>
      <w:bookmarkEnd w:id="182"/>
      <w:r>
        <w:rPr>
          <w:rFonts w:ascii="Calibri" w:hAnsi="Calibri" w:asciiTheme="majorHAnsi" w:hAnsiTheme="majorHAnsi"/>
          <w:lang w:val="en-GB"/>
        </w:rPr>
        <w:t>. In Morocco, up to now no health economics study has estimated either health system or household costs of managing VL or the economic evaluation of VL-related health interventions.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183" w:name="_Toc382138185"/>
      <w:bookmarkEnd w:id="183"/>
      <w:r>
        <w:rPr>
          <w:lang w:val="en-GB"/>
        </w:rPr>
        <w:t>4. Malaria</w:t>
      </w:r>
    </w:p>
    <w:p>
      <w:pPr>
        <w:pStyle w:val="Normal"/>
        <w:spacing w:lineRule="auto" w:line="360"/>
        <w:rPr/>
      </w:pPr>
      <w:r>
        <w:rPr>
          <w:rFonts w:ascii="Calibri" w:hAnsi="Calibri" w:asciiTheme="majorHAnsi" w:hAnsiTheme="majorHAnsi"/>
          <w:lang w:val="en-GB"/>
        </w:rPr>
        <w:t xml:space="preserve">Malaria is a parasitic disease transmitted by </w:t>
      </w:r>
      <w:r>
        <w:rPr>
          <w:rFonts w:ascii="Calibri" w:hAnsi="Calibri" w:asciiTheme="majorHAnsi" w:hAnsiTheme="majorHAnsi"/>
          <w:i/>
          <w:lang w:val="en-GB"/>
        </w:rPr>
        <w:t>Anopheles</w:t>
      </w:r>
      <w:r>
        <w:rPr>
          <w:rFonts w:ascii="Calibri" w:hAnsi="Calibri" w:asciiTheme="majorHAnsi" w:hAnsiTheme="majorHAnsi"/>
          <w:lang w:val="en-GB"/>
        </w:rPr>
        <w:t xml:space="preserve"> mosquitoes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84" w:name="__Fieldmark__1261_513475976"/>
      <w:r>
        <w:rPr>
          <w:rFonts w:ascii="Calibri" w:hAnsi="Calibri" w:asciiTheme="majorHAnsi" w:hAnsiTheme="majorHAnsi"/>
          <w:lang w:val="en-GB"/>
        </w:rPr>
        <w:t>(</w:t>
      </w:r>
      <w:bookmarkStart w:id="185" w:name="__Fieldmark__395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84"/>
      <w:bookmarkEnd w:id="185"/>
      <w:r>
        <w:rPr>
          <w:rFonts w:ascii="Calibri" w:hAnsi="Calibri" w:asciiTheme="majorHAnsi" w:hAnsiTheme="majorHAnsi"/>
          <w:lang w:val="en-GB"/>
        </w:rPr>
        <w:t>. In 2016, malaria was endemic in 91 countries (</w:t>
      </w:r>
      <w:r>
        <w:rPr>
          <w:rFonts w:ascii="Calibri" w:hAnsi="Calibri" w:asciiTheme="majorHAnsi" w:hAnsiTheme="majorHAnsi"/>
          <w:b/>
          <w:lang w:val="en-GB"/>
        </w:rPr>
        <w:t>Figure 5</w:t>
      </w:r>
      <w:r>
        <w:rPr>
          <w:rFonts w:ascii="Calibri" w:hAnsi="Calibri" w:asciiTheme="majorHAnsi" w:hAnsiTheme="majorHAnsi"/>
          <w:lang w:val="en-GB"/>
        </w:rPr>
        <w:t xml:space="preserve">), with an estimated global burden of 212 million cases and 429,000 deaths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86" w:name="__Fieldmark__1270_513475976"/>
      <w:r>
        <w:rPr>
          <w:rFonts w:ascii="Calibri" w:hAnsi="Calibri" w:asciiTheme="majorHAnsi" w:hAnsiTheme="majorHAnsi"/>
          <w:lang w:val="en-GB"/>
        </w:rPr>
        <w:t>(</w:t>
      </w:r>
      <w:bookmarkStart w:id="187" w:name="__Fieldmark__3973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86"/>
      <w:bookmarkEnd w:id="187"/>
      <w:r>
        <w:rPr>
          <w:rFonts w:ascii="Calibri" w:hAnsi="Calibri" w:asciiTheme="majorHAnsi" w:hAnsiTheme="majorHAnsi"/>
          <w:lang w:val="en-GB"/>
        </w:rPr>
        <w:t xml:space="preserve">. Most </w:t>
      </w:r>
      <w:del w:id="153" w:author="Unknown Author" w:date="2018-04-12T11:13:00Z">
        <w:r>
          <w:rPr>
            <w:rFonts w:ascii="Calibri" w:hAnsi="Calibri" w:asciiTheme="majorHAnsi" w:hAnsiTheme="majorHAnsi"/>
            <w:lang w:val="en-GB"/>
          </w:rPr>
          <w:delText>of</w:delText>
        </w:r>
      </w:del>
      <w:r>
        <w:rPr>
          <w:rFonts w:ascii="Calibri" w:hAnsi="Calibri" w:asciiTheme="majorHAnsi" w:hAnsiTheme="majorHAnsi"/>
          <w:lang w:val="en-GB"/>
        </w:rPr>
        <w:t xml:space="preserve"> malaria cases are caused by </w:t>
      </w:r>
      <w:r>
        <w:rPr>
          <w:rFonts w:ascii="Calibri" w:hAnsi="Calibri" w:asciiTheme="majorHAnsi" w:hAnsiTheme="majorHAnsi"/>
          <w:i/>
          <w:lang w:val="en-GB"/>
        </w:rPr>
        <w:t xml:space="preserve">Plasmodium falciparum </w:t>
      </w:r>
      <w:r>
        <w:rPr>
          <w:rFonts w:ascii="Calibri" w:hAnsi="Calibri" w:asciiTheme="majorHAnsi" w:hAnsiTheme="majorHAnsi"/>
          <w:lang w:val="en-GB"/>
        </w:rPr>
        <w:t xml:space="preserve">parasite – predominant in Sub-Saharan Africa, where 90% of all malaria cases occur – and </w:t>
      </w:r>
      <w:r>
        <w:rPr>
          <w:rFonts w:ascii="Calibri" w:hAnsi="Calibri" w:asciiTheme="majorHAnsi" w:hAnsiTheme="majorHAnsi"/>
          <w:i/>
          <w:lang w:val="en-GB"/>
        </w:rPr>
        <w:t>Plasmodium vivax</w:t>
      </w:r>
      <w:r>
        <w:rPr>
          <w:rFonts w:ascii="Calibri" w:hAnsi="Calibri" w:asciiTheme="majorHAnsi" w:hAnsiTheme="majorHAnsi"/>
          <w:lang w:val="en-GB"/>
        </w:rPr>
        <w:t xml:space="preserve">, widely prevalent in the Southeast Asian and Western Pacific regions </w:t>
      </w:r>
      <w:r>
        <w:fldChar w:fldCharType="begin"/>
      </w:r>
      <w:r>
        <w:instrText>ADDIN CSL_CITATION { "citationItems" : [ { "id" : "ITEM-1", "itemData" : { "DOI" : "10.4269/ajtmh.16-0141", "ISBN" : "1476-1645 (Electronic)\\r0002-9637 (Linking)", "ISSN" : "00029637", "PMID" : "27402513", "abstract" : "Plasmodium vivax is the most widespread human malaria, putting 2.5 billion people at risk of infection. Its unique biological and epidemiological characteristics pose challenges to control strategies that have been principally targeted against Plasmodium falciparum Unlike P. falciparum, P. vivax infections have typically low blood-stage parasitemia with gametocytes emerging before illness manifests, and dormant liver stages causing relapses. These traits affect both its geographic distribution and transmission patterns. Asymptomatic infections, high-risk groups, and resulting case burdens are described in this review. Despite relatively low prevalence measurements and parasitemia levels, along with high proportions of asymptomatic cases, this parasite is not benign. Plasmodium vivax can be associated with severe and even fatal illness. Spreading resistance to chloroquine against the acute attack, and the operational inadequacy of primaquine against the multiple attacks of relapse, exacerbates the risk of poor outcomes among the tens of millions suffering from infection each year. Without strategies accounting for these P. vivax-specific characteristics, progress toward elimination of endemic malaria transmission will be substantially impeded.", "author" : [ { "dropping-particle" : "", "family" : "Howes", "given" : "Rosalind E.", "non-dropping-particle" : "", "parse-names" : false, "suffix" : "" }, { "dropping-particle" : "", "family" : "Battle", "given" : "Katherine E.", "non-dropping-particle" : "", "parse-names" : false, "suffix" : "" }, { "dropping-particle" : "", "family" : "Mendis", "given" : "Kamini N.", "non-dropping-particle" : "", "parse-names" : false, "suffix" : "" }, { "dropping-particle" : "", "family" : "Smith", "given" : "David L.", "non-dropping-particle" : "", "parse-names" : false, "suffix" : "" }, { "dropping-particle" : "", "family" : "Cibulskis", "given" : "Richard E.", "non-dropping-particle" : "", "parse-names" : false, "suffix" : "" }, { "dropping-particle" : "", "family" : "Baird", "given" : "J. Kevin", "non-dropping-particle" : "", "parse-names" : false, "suffix" : "" }, { "dropping-particle" : "", "family" : "Hay", "given" : "Simon I.", "non-dropping-particle" : "", "parse-names" : false, "suffix" : "" } ], "container-title" : "American Journal of Tropical Medicine and Hygiene", "id" : "ITEM-1", "issue" : "Suppl 6", "issued" : { "date-parts" : [ [ "2016" ] ] }, "page" : "15-34", "title" : "Global epidemiology of Plasmodium vivax", "type" : "article-journal", "volume" : "95" }, "uris" : [ "http://www.mendeley.com/documents/?uuid=8999cdf8-bf70-4817-a85e-8abfc624f001" ] } ], "mendeley" : { "formattedCitation" : "(Howes et al., 2016)", "plainTextFormattedCitation" : "(Howes et al., 2016)", "previouslyFormattedCitation" : "(Howes et al., 2016)" }, "properties" : {  }, "schema" : "https://github.com/citation-style-language/schema/raw/master/csl-citation.json" }</w:instrText>
      </w:r>
      <w:r>
        <w:fldChar w:fldCharType="separate"/>
      </w:r>
      <w:bookmarkStart w:id="188" w:name="__Fieldmark__1281_513475976"/>
      <w:r>
        <w:rPr>
          <w:rFonts w:ascii="Calibri" w:hAnsi="Calibri" w:asciiTheme="majorHAnsi" w:hAnsiTheme="majorHAnsi"/>
          <w:lang w:val="en-GB"/>
        </w:rPr>
        <w:t>(</w:t>
      </w:r>
      <w:bookmarkStart w:id="189" w:name="__Fieldmark__4008_903549581"/>
      <w:r>
        <w:rPr>
          <w:rFonts w:ascii="Calibri" w:hAnsi="Calibri" w:asciiTheme="majorHAnsi" w:hAnsiTheme="majorHAnsi"/>
          <w:lang w:val="en-GB"/>
        </w:rPr>
        <w:t>Howes et al., 2016)</w:t>
      </w:r>
      <w:r>
        <w:rPr>
          <w:rFonts w:ascii="Calibri" w:hAnsi="Calibri" w:asciiTheme="majorHAnsi" w:hAnsiTheme="majorHAnsi"/>
          <w:lang w:val="en-GB"/>
        </w:rPr>
      </w:r>
      <w:r>
        <w:fldChar w:fldCharType="end"/>
      </w:r>
      <w:bookmarkEnd w:id="188"/>
      <w:bookmarkEnd w:id="189"/>
      <w:r>
        <w:rPr>
          <w:rFonts w:ascii="Calibri" w:hAnsi="Calibri" w:asciiTheme="majorHAnsi" w:hAnsiTheme="majorHAnsi"/>
          <w:lang w:val="en-GB"/>
        </w:rPr>
        <w:t xml:space="preserve">. Other species causing human infections are </w:t>
      </w:r>
      <w:r>
        <w:rPr>
          <w:rFonts w:ascii="Calibri" w:hAnsi="Calibri" w:asciiTheme="majorHAnsi" w:hAnsiTheme="majorHAnsi"/>
          <w:i/>
          <w:lang w:val="en-GB"/>
        </w:rPr>
        <w:t>P. ovale</w:t>
      </w:r>
      <w:r>
        <w:rPr>
          <w:rFonts w:ascii="Calibri" w:hAnsi="Calibri" w:asciiTheme="majorHAnsi" w:hAnsiTheme="majorHAnsi"/>
          <w:lang w:val="en-GB"/>
        </w:rPr>
        <w:t xml:space="preserve">, </w:t>
      </w:r>
      <w:r>
        <w:rPr>
          <w:rFonts w:ascii="Calibri" w:hAnsi="Calibri" w:asciiTheme="majorHAnsi" w:hAnsiTheme="majorHAnsi"/>
          <w:i/>
          <w:lang w:val="en-GB"/>
        </w:rPr>
        <w:t>P. malariae</w:t>
      </w:r>
      <w:r>
        <w:rPr>
          <w:rFonts w:ascii="Calibri" w:hAnsi="Calibri" w:asciiTheme="majorHAnsi" w:hAnsiTheme="majorHAnsi"/>
          <w:lang w:val="en-GB"/>
        </w:rPr>
        <w:t xml:space="preserve"> and </w:t>
      </w:r>
      <w:r>
        <w:rPr>
          <w:rFonts w:ascii="Calibri" w:hAnsi="Calibri" w:asciiTheme="majorHAnsi" w:hAnsiTheme="majorHAnsi"/>
          <w:i/>
          <w:lang w:val="en-GB"/>
        </w:rPr>
        <w:t xml:space="preserve">P. knowlesi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0" w:name="__Fieldmark__1293_513475976"/>
      <w:r>
        <w:rPr>
          <w:rFonts w:ascii="Calibri" w:hAnsi="Calibri" w:asciiTheme="majorHAnsi" w:hAnsiTheme="majorHAnsi"/>
          <w:i/>
          <w:lang w:val="en-GB"/>
        </w:rPr>
        <w:t>(</w:t>
      </w:r>
      <w:bookmarkStart w:id="191" w:name="__Fieldmark__4021_903549581"/>
      <w:r>
        <w:rPr>
          <w:rFonts w:ascii="Calibri" w:hAnsi="Calibri" w:asciiTheme="majorHAnsi" w:hAnsiTheme="majorHAnsi"/>
          <w:i/>
          <w:lang w:val="en-GB"/>
        </w:rPr>
        <w:t>White et al., 2014)</w:t>
      </w:r>
      <w:r>
        <w:rPr>
          <w:rFonts w:ascii="Calibri" w:hAnsi="Calibri" w:asciiTheme="majorHAnsi" w:hAnsiTheme="majorHAnsi"/>
          <w:i/>
          <w:lang w:val="en-GB"/>
        </w:rPr>
      </w:r>
      <w:r>
        <w:fldChar w:fldCharType="end"/>
      </w:r>
      <w:bookmarkEnd w:id="190"/>
      <w:bookmarkEnd w:id="191"/>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5. Malaria endemic countries in 2000 and 2016</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2649855"/>
                  <wp:effectExtent l="0" t="0" r="0" b="0"/>
                  <wp:docPr id="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
                          <pic:cNvPicPr>
                            <a:picLocks noChangeAspect="1" noChangeArrowheads="1"/>
                          </pic:cNvPicPr>
                        </pic:nvPicPr>
                        <pic:blipFill>
                          <a:blip r:embed="rId8"/>
                          <a:stretch>
                            <a:fillRect/>
                          </a:stretch>
                        </pic:blipFill>
                        <pic:spPr bwMode="auto">
                          <a:xfrm>
                            <a:off x="0" y="0"/>
                            <a:ext cx="5396230" cy="264985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pPr>
            <w:r>
              <w:rPr>
                <w:rFonts w:ascii="Calibri" w:hAnsi="Calibri" w:asciiTheme="majorHAnsi" w:hAnsiTheme="majorHAnsi"/>
                <w:i/>
                <w:u w:val="single"/>
                <w:lang w:val="en-GB"/>
              </w:rPr>
              <w:t>Source</w:t>
            </w:r>
            <w:r>
              <w:rPr>
                <w:rFonts w:ascii="Calibri" w:hAnsi="Calibri" w:asciiTheme="majorHAnsi" w:hAnsiTheme="majorHAnsi"/>
                <w:i/>
                <w:lang w:val="en-GB"/>
              </w:rPr>
              <w:t>: World Malaria Report 2016. World Health Organisation (WHO)</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symptoms include headache, fatigue, muscle aches, abdominal discomfort and irregular fever; nausea, vomiting and hypotension are frequent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2" w:name="__Fieldmark__1313_513475976"/>
      <w:r>
        <w:rPr>
          <w:rFonts w:ascii="Calibri" w:hAnsi="Calibri" w:asciiTheme="majorHAnsi" w:hAnsiTheme="majorHAnsi"/>
          <w:lang w:val="en-GB"/>
        </w:rPr>
        <w:t>(</w:t>
      </w:r>
      <w:bookmarkStart w:id="193" w:name="__Fieldmark__4047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2"/>
      <w:bookmarkEnd w:id="193"/>
      <w:r>
        <w:rPr>
          <w:rFonts w:ascii="Calibri" w:hAnsi="Calibri" w:asciiTheme="majorHAnsi" w:hAnsiTheme="majorHAnsi"/>
          <w:lang w:val="en-GB"/>
        </w:rPr>
        <w:t xml:space="preserve">. </w:t>
      </w:r>
      <w:r>
        <w:rPr>
          <w:rFonts w:ascii="Calibri" w:hAnsi="Calibri" w:asciiTheme="majorHAnsi" w:hAnsiTheme="majorHAnsi"/>
          <w:i/>
          <w:lang w:val="en-GB"/>
        </w:rPr>
        <w:t>P. falciparum</w:t>
      </w:r>
      <w:r>
        <w:rPr>
          <w:rFonts w:ascii="Calibri" w:hAnsi="Calibri" w:asciiTheme="majorHAnsi" w:hAnsiTheme="majorHAnsi"/>
          <w:lang w:val="en-GB"/>
        </w:rPr>
        <w:t xml:space="preserve"> is the most severe manifestation of the disease potentially yielding to severe malaria that, particularly in children, is always associated with anaemia and hypoglycaemia. As constant exposure to malaria grants immunity, most at risk groups are children under the age of 5. Pregnant women also bear a high malaria risk. Malaria in pregnancy is associated with several complications for the woman and the foetus, such as anaemia, foetal distress or stillbirth </w:t>
      </w:r>
      <w:r>
        <w:fldChar w:fldCharType="begin"/>
      </w:r>
      <w:r>
        <w:instrText>ADDIN CSL_CITATION { "citationItems" : [ { "id" : "ITEM-1", "itemData" : { "DOI" : "10.1371/journal.pmed.1002014", "ISBN" : "1549-1676 (Electronic)\\r1549-1277 (Linking)", "ISSN" : "15491676", "PMID" : "27139032", "abstract" : "Raquel Gonzalez and colleagues highlight an urgent need to evaluate antimalarials that can be safely administered to HIV-infected pregnant women on antiretroviral treatment and cotrimoxazole prophylaxis.", "author" : [ { "dropping-particle" : "", "family" : "Gonz\u00e1lez", "given" : "Raquel", "non-dropping-particle" : "", "parse-names" : false, "suffix" : "" }, { "dropping-particle" : "", "family" : "Sevene", "given" : "Esperan\u00e7a", "non-dropping-particle" : "", "parse-names" : false, "suffix" : "" }, { "dropping-particle" : "", "family" : "Jagoe", "given" : "George", "non-dropping-particle" : "", "parse-names" : false, "suffix" : "" }, { "dropping-particle" : "", "family" : "Slutsker", "given" : "Laurence", "non-dropping-particle" : "", "parse-names" : false, "suffix" : "" }, { "dropping-particle" : "", "family" : "Men\u00e9ndez", "given" : "Clara", "non-dropping-particle" : "", "parse-names" : false, "suffix" : "" } ], "container-title" : "PLoS Medicine", "id" : "ITEM-1", "issue" : "5", "issued" : { "date-parts" : [ [ "2016" ] ] }, "page" : "6-9", "title" : "A Public Health Paradox: The Women Most Vulnerable to Malaria Are the Least Protected", "type" : "article-journal", "volume" : "13" }, "uris" : [ "http://www.mendeley.com/documents/?uuid=f37686da-e828-4a1b-8b0c-d3034f9cd3ca" ] }, { "id" : "ITEM-2", "itemData" : { "DOI" : "10.1016/S1473-3099(18)30064-1", "ISSN" : "14733099", "abstract" : "Malaria remains one of the most preventable causes of adverse birth outcomes. Intermittent preventive treatment in pregnancy (IPTp) with sulfadoxine\u2013pyrimethamine is used to prevent malaria, but resistance to this drug combination has decreased its efficacy and new alternatives are needed. In Africa, a meta-analysis showed three-course or monthly IPTp with sulfadoxine\u2013pyrimethamine to be safe and more effective than the original two-course sulfadoxine\u2013 pyrimethamine strategy, prompting WHO to update its policy in 2012. Although resistance to sulfadoxine\u2013 pyrimethamine reduces the parasitological efficacy of IPTp, this drug combination remains associated with reduced incidence of low birthweight in areas where prevalence of parasites with quintuple Plasmodium falciparum dihydrofolate reductase (Pfdhfr) and dihydropteroate synthetase (Pfdhps) mutations is greater than 90%. Nevertheless, its effectiveness is compromised in women infected with sextuple mutant parasites. Six trials of IPTp showed that neither amodiaquine, mefloquine, nor chloroquine\u2013azithromycin are suitable replacements for sulfadoxine\u2013 pyrimethamine because of poor tolerability. Furthermore, four trials showed that intermittent screening and treatment with the current generation of malaria rapid diagnostic tests was not a suitable alternative strategy to IPTp with sulfadoxine\u2013pyrimethamine, even in areas with high prevalence of quintuple mutations. Two trials showed that IPTp with dihydroartemisinin\u2013piperaquine was well tolerated, effective, and acceptable for IPTp, with monthly regimens being the most effective. Coverage of IPTp and insecticide-treated nets continues to lag behind targets. The key barriers to uptake are well documented, and many are open to intervention. Outside of Africa, a single trial suggests a potential role for integrated approaches that combine sulfadoxine\u2013pyrimethamine with azithromycin for IPTp in areas of Papua New Guinea where malaria transmission is high. Modelling analysis suggests the importance of the prevention of malaria early in pregnancy and the need to protect pregnant women declines more slowly than the rate at which transmission declines. Improved funding has led to an increase in the number of prevention trials in the past decade, showing the value of more sustained protection with monthly IPTp regimens. There is a need for confirmatory trials of the safety, efficacy, and feasibility of IPTp with dihydroartemisinin\u2013piperaquine, for studies of interm\u2026", "author" : [ { "dropping-particle" : "", "family" : "Desai", "given" : "Meghna", "non-dropping-particle" : "", "parse-names" : false, "suffix" : "" }, { "dropping-particle" : "", "family" : "Hill", "given" : "Jenny", "non-dropping-particle" : "", "parse-names" : false, "suffix" : "" }, { "dropping-particle" : "", "family" : "Fernandes", "given" : "Silke", "non-dropping-particle" : "", "parse-names" : false, "suffix" : "" }, { "dropping-particle" : "", "family" : "Walker", "given" : "Patrick", "non-dropping-particle" : "", "parse-names" : false, "suffix" : "" }, { "dropping-particle" : "", "family" : "Pell", "given" : "Christopher", "non-dropping-particle" : "", "parse-names" : false, "suffix" : "" }, { "dropping-particle" : "", "family" : "Gutman", "given" : "Julie", "non-dropping-particle" : "", "parse-names" : false, "suffix" : "" }, { "dropping-particle" : "", "family" : "Kayentao", "given" : "Kassoum", "non-dropping-particle" : "", "parse-names" : false, "suffix" : "" }, { "dropping-particle" : "", "family" : "Gonzalez", "given" : "Raquel", "non-dropping-particle" : "", "parse-names" : false, "suffix" : "" }, { "dropping-particle" : "", "family" : "Webster", "given" : "Jayne", "non-dropping-particle" : "", "parse-names" : false, "suffix" : "" }, { "dropping-particle" : "", "family" : "Greenwood", "given" : "Brian", "non-dropping-particle" : "", "parse-names" : false, "suffix" : "" }, { "dropping-particle" : "", "family" : "Cot", "given" : "Michel", "non-dropping-particle" : "", "parse-names" : false, "suffix" : "" }, { "dropping-particle" : "", "family" : "Kuile", "given" : "Feiko O", "non-dropping-particle" : "ter", "parse-names" : false, "suffix" : "" } ], "container-title" : "Lancet Infect Dis", "id" : "ITEM-2", "issue" : "18", "issued" : { "date-parts" : [ [ "2018" ] ] }, "page" : "1-14", "publisher" : "Elsevier Ltd", "title" : "Series Malaria in pregnancy 2 Prevention of malaria in pregnancy", "type" : "article-journal", "volume" : "3099" }, "uris" : [ "http://www.mendeley.com/documents/?uuid=e5765c61-a102-482b-a2b6-84f0b56e9ecf" ] }, { "id" : "ITEM-3", "itemData" : { "DOI" : "10.1016/S1473-3099(18)30065-3", "ISSN" : "14733099", "PMID" : "29395998", "abstract" : "Over the past 10 years, the available evidence on the treatment of malaria during pregnancy has increased substantially. Owing to their relative ease of use, good sensitivity and specificity, histidine rich protein 2 based rapid diagnostic tests are appropriate for symptomatic pregnant women; however, such tests are less appropriate for systematic screening because they will not detect an important proportion of infections among asymptomatic women. The effect of pregnancy on the pharmacokinetics of antimalarial drugs varies greatly between studies and class of antimalarial drugs, emphasising the need for prospective studies in pregnant and non-pregnant women. For the treatment of malaria during the first trimester, international guidelines are being reviewed by WHO. For the second and third trimester of pregnancy, results from several trials have confirmed that artemisinin-based combination treatments are safe and efficacious, although tolerability and efficacy might vary by treatment. It is now essential to translate such evidence into policies and clinical practice that benefit pregnant women in countries where malaria is endemic. Access to parasitological diagnosis or appropriate antimalarial treatment remains low in many countries and regions. Therefore, there is a pressing need for research to identify quality improvement interventions targeting pregnant women and health providers. In addition, efficient and practical systems for pharmacovigilance are needed to further expand knowledge on the safety of antimalarial drugs, particularly in the first trimester of pregnancy.", "author" : [ { "dropping-particle" : "", "family" : "D 'alessandro", "given" : "Umberto", "non-dropping-particle" : "", "parse-names" : false, "suffix" : "" }, { "dropping-particle" : "", "family" : "Hill", "given" : "Jenny", "non-dropping-particle" : "", "parse-names" : false, "suffix" : "" }, { "dropping-particle" : "", "family" : "Tarning", "given" : "Joel", "non-dropping-particle" : "", "parse-names" : false, "suffix" : "" }, { "dropping-particle" : "", "family" : "Pell", "given" : "Christopher", "non-dropping-particle" : "", "parse-names" : false, "suffix" : "" }, { "dropping-particle" : "", "family" : "Webster", "given" : "Jayne", "non-dropping-particle" : "", "parse-names" : false, "suffix" : "" }, { "dropping-particle" : "", "family" : "Gutman", "given" : "Julie", "non-dropping-particle" : "", "parse-names" : false, "suffix" : "" }, { "dropping-particle" : "", "family" : "Sevene", "given" : "Esperanca", "non-dropping-particle" : "", "parse-names" : false, "suffix" : "" } ], "container-title" : "The Lancet Infectious Diseases", "id" : "ITEM-3", "issue" : "18", "issued" : { "date-parts" : [ [ "2018" ] ] }, "publisher" : "Elsevier Ltd", "title" : "Series Malaria in pregnancy 3 Treatment of uncomplicated and severe malaria during pregnancy", "type" : "article-journal", "volume" : "2" }, "uris" : [ "http://www.mendeley.com/documents/?uuid=b481188a-8e36-4252-bfcd-545ea908dba1" ] } ], "mendeley" : { "formattedCitation" : "(Gonz\u00e1lez et al., 2016; Desai et al., 2018; D \u2019alessandro et al., 2018)", "plainTextFormattedCitation" : "(Gonz\u00e1lez et al., 2016; Desai et al., 2018; D \u2019alessandro et al., 2018)", "previouslyFormattedCitation" : "(Gonz\u00e1lez et al., 2016; Desai et al., 2018; D \u2019alessandro et al., 2018)" }, "properties" : {  }, "schema" : "https://github.com/citation-style-language/schema/raw/master/csl-citation.json" }</w:instrText>
      </w:r>
      <w:r>
        <w:fldChar w:fldCharType="separate"/>
      </w:r>
      <w:bookmarkStart w:id="194" w:name="__Fieldmark__1322_513475976"/>
      <w:r>
        <w:rPr>
          <w:rFonts w:ascii="Calibri" w:hAnsi="Calibri" w:asciiTheme="majorHAnsi" w:hAnsiTheme="majorHAnsi"/>
          <w:lang w:val="en-GB"/>
        </w:rPr>
        <w:t>(</w:t>
      </w:r>
      <w:bookmarkStart w:id="195" w:name="__Fieldmark__4073_903549581"/>
      <w:r>
        <w:rPr>
          <w:rFonts w:ascii="Calibri" w:hAnsi="Calibri" w:asciiTheme="majorHAnsi" w:hAnsiTheme="majorHAnsi"/>
          <w:lang w:val="en-GB"/>
        </w:rPr>
        <w:t>González et al., 2016; Desai et al., 2018; D ’alessandro et al., 2018)</w:t>
      </w:r>
      <w:r>
        <w:rPr>
          <w:rFonts w:ascii="Calibri" w:hAnsi="Calibri" w:asciiTheme="majorHAnsi" w:hAnsiTheme="majorHAnsi"/>
          <w:lang w:val="en-GB"/>
        </w:rPr>
      </w:r>
      <w:r>
        <w:fldChar w:fldCharType="end"/>
      </w:r>
      <w:bookmarkEnd w:id="194"/>
      <w:bookmarkEnd w:id="195"/>
      <w:r>
        <w:rPr>
          <w:rFonts w:ascii="Calibri" w:hAnsi="Calibri" w:asciiTheme="majorHAnsi" w:hAnsiTheme="majorHAnsi"/>
          <w:lang w:val="en-GB"/>
        </w:rPr>
        <w:t xml:space="preserve">. Malaria in pregnancy also doubles the risk of low birth weight. In high transmission areas, placental malaria is a cause of congenital malaria, and increases the risk of developing severe malaria with a fatality rate of almost 50%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196" w:name="__Fieldmark__1329_513475976"/>
      <w:r>
        <w:rPr>
          <w:rFonts w:ascii="Calibri" w:hAnsi="Calibri" w:asciiTheme="majorHAnsi" w:hAnsiTheme="majorHAnsi"/>
          <w:lang w:val="en-GB"/>
        </w:rPr>
        <w:t>(</w:t>
      </w:r>
      <w:bookmarkStart w:id="197" w:name="__Fieldmark__4091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196"/>
      <w:bookmarkEnd w:id="19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Since 2010, the World Health Organisation (WHO) recommends all malaria suspect cases to be diagnosed by microscopic examination, the gold standard, or finger-prick rapid diagnostic tests (RDTs)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198" w:name="__Fieldmark__1338_513475976"/>
      <w:r>
        <w:rPr>
          <w:rFonts w:ascii="Calibri" w:hAnsi="Calibri" w:asciiTheme="majorHAnsi" w:hAnsiTheme="majorHAnsi"/>
          <w:lang w:val="en-GB"/>
        </w:rPr>
        <w:t>(</w:t>
      </w:r>
      <w:bookmarkStart w:id="199" w:name="__Fieldmark__411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198"/>
      <w:bookmarkEnd w:id="199"/>
      <w:r>
        <w:rPr>
          <w:rFonts w:ascii="Calibri" w:hAnsi="Calibri" w:asciiTheme="majorHAnsi" w:hAnsiTheme="majorHAnsi"/>
          <w:lang w:val="en-GB"/>
        </w:rPr>
        <w:t xml:space="preserve">. Both techniques are highly sensitive: while microscopic examination requires time, a laboratory and personnel to process samples; RDTs are simple and fast, but also expensive and unable to quantify parasitaemia </w:t>
      </w:r>
      <w:r>
        <w:fldChar w:fldCharType="begin"/>
      </w:r>
      <w:r>
        <w:instrText>ADDIN CSL_CITATION { "citationItems" : [ { "id" : "ITEM-1", "itemData" : { "DOI" : "10.1016/S0140-6736(13)60024-0", "ISSN" : "1474-547X", "PMID" : "23953767", "abstract" : "Although global morbidity and mortality have decreased substantially, malaria, a parasite infection of red blood cells, still kills roughly 2000 people per day, most of whom are children in Africa. Two factors largely account for these decreases; increased deployment of insecticide-treated bednets and increased availability of highly effective artemisinin combination treatments. In large trials, parenteral artesunate (an artemisinin derivative) reduced severe malaria mortality by 22\u00b75% in Africa and 34\u00b77% in Asia compared with quinine, whereas adjunctive interventions have been uniformly unsuccessful. Rapid tests have been an important addition to microscopy for malaria diagnosis. Chemopreventive strategies have been increasingly deployed in Africa, notably intermittent sulfadoxine-pyrimethamine treatment in pregnancy, and monthly amodiaquine-sulfadoxine-pyrimethamine during the rainy season months in children aged between 3 months and 5 years across the sub-Sahel. Enthusiasm for malaria elimination has resurfaced. This ambitious but laudable goal faces many challenges, including the worldwide economic downturn, difficulties in elimination of vivax malaria, development of pyrethroid resistance in some anopheline mosquitoes, and the emergence of artemisinin resistance in Plasmodium falciparum in southeast Asia. We review the epidemiology, clinical features, pathology, prevention, and treatment of malaria.", "author" : [ { "dropping-particle" : "", "family" : "White", "given" : "Nicholas J", "non-dropping-particle" : "", "parse-names" : false, "suffix" : "" }, { "dropping-particle" : "", "family" : "Pukrittayakamee", "given" : "Sasithon", "non-dropping-particle" : "", "parse-names" : false, "suffix" : "" }, { "dropping-particle" : "", "family" : "Hien", "given" : "Tran Tinh", "non-dropping-particle" : "", "parse-names" : false, "suffix" : "" }, { "dropping-particle" : "", "family" : "Faiz", "given" : "M Abul", "non-dropping-particle" : "", "parse-names" : false, "suffix" : "" }, { "dropping-particle" : "", "family" : "Mokuolu", "given" : "Olugbenga a", "non-dropping-particle" : "", "parse-names" : false, "suffix" : "" }, { "dropping-particle" : "", "family" : "Dondorp", "given" : "Arjen M", "non-dropping-particle" : "", "parse-names" : false, "suffix" : "" } ], "container-title" : "Lancet", "id" : "ITEM-1", "issue" : "9918", "issued" : { "date-parts" : [ [ "2014", "2", "22" ] ] }, "page" : "723-35", "title" : "Malaria", "type" : "article-journal", "volume" : "383" }, "uris" : [ "http://www.mendeley.com/documents/?uuid=cd374c3f-17b0-45cd-831a-04a9517bb5d6" ] } ], "mendeley" : { "formattedCitation" : "(White et al., 2014)", "plainTextFormattedCitation" : "(White et al., 2014)", "previouslyFormattedCitation" : "(White et al., 2014)" }, "properties" : {  }, "schema" : "https://github.com/citation-style-language/schema/raw/master/csl-citation.json" }</w:instrText>
      </w:r>
      <w:r>
        <w:fldChar w:fldCharType="separate"/>
      </w:r>
      <w:bookmarkStart w:id="200" w:name="__Fieldmark__1345_513475976"/>
      <w:r>
        <w:rPr>
          <w:rFonts w:ascii="Calibri" w:hAnsi="Calibri" w:asciiTheme="majorHAnsi" w:hAnsiTheme="majorHAnsi"/>
          <w:lang w:val="en-GB"/>
        </w:rPr>
        <w:t>(</w:t>
      </w:r>
      <w:bookmarkStart w:id="201" w:name="__Fieldmark__4129_903549581"/>
      <w:r>
        <w:rPr>
          <w:rFonts w:ascii="Calibri" w:hAnsi="Calibri" w:asciiTheme="majorHAnsi" w:hAnsiTheme="majorHAnsi"/>
          <w:lang w:val="en-GB"/>
        </w:rPr>
        <w:t>White et al., 2014)</w:t>
      </w:r>
      <w:r>
        <w:rPr>
          <w:rFonts w:ascii="Calibri" w:hAnsi="Calibri" w:asciiTheme="majorHAnsi" w:hAnsiTheme="majorHAnsi"/>
          <w:lang w:val="en-GB"/>
        </w:rPr>
      </w:r>
      <w:r>
        <w:fldChar w:fldCharType="end"/>
      </w:r>
      <w:bookmarkEnd w:id="200"/>
      <w:bookmarkEnd w:id="201"/>
      <w:r>
        <w:rPr>
          <w:rFonts w:ascii="Calibri" w:hAnsi="Calibri" w:asciiTheme="majorHAnsi" w:hAnsiTheme="majorHAnsi"/>
          <w:lang w:val="en-GB"/>
        </w:rPr>
        <w:t xml:space="preserve">. Artemisinin-based combination therapies (ACTs) remain effective </w:t>
      </w:r>
      <w:del w:id="154" w:author="Unknown Author" w:date="2018-04-12T11:14:00Z">
        <w:r>
          <w:rPr>
            <w:rFonts w:ascii="Calibri" w:hAnsi="Calibri" w:asciiTheme="majorHAnsi" w:hAnsiTheme="majorHAnsi"/>
            <w:lang w:val="en-GB"/>
          </w:rPr>
          <w:delText xml:space="preserve">drugs </w:delText>
        </w:r>
      </w:del>
      <w:r>
        <w:rPr>
          <w:rFonts w:ascii="Calibri" w:hAnsi="Calibri" w:asciiTheme="majorHAnsi" w:hAnsiTheme="majorHAnsi"/>
          <w:lang w:val="en-GB"/>
        </w:rPr>
        <w:t>with few adverse effects and have been adopted as first line treatments worldwide. In Sub-Saharan Africa, ACTs currently in use have a median treatment failure lower than 10% and artemisinin resistances are still contained. Mozambique has adopted artemether-lumefantrine (AL) as first-line treatment for uncomplicated malaria and artesunate-amodiaquine (AS-AQ) as second-line treatment (</w:t>
      </w:r>
      <w:r>
        <w:rPr>
          <w:rFonts w:ascii="Calibri" w:hAnsi="Calibri" w:asciiTheme="majorHAnsi" w:hAnsiTheme="majorHAnsi"/>
          <w:b/>
          <w:lang w:val="en-GB"/>
        </w:rPr>
        <w:t>table 1</w:t>
      </w:r>
      <w:r>
        <w:rPr>
          <w:rFonts w:ascii="Calibri" w:hAnsi="Calibri" w:asciiTheme="majorHAnsi" w:hAnsiTheme="majorHAnsi"/>
          <w:lang w:val="en-GB"/>
        </w:rPr>
        <w:t xml:space="preserve">), while severe malaria is treated either with AS or quinine </w:t>
      </w:r>
      <w:r>
        <w:fldChar w:fldCharType="begin"/>
      </w:r>
      <w:r>
        <w:instrText>ADDIN CSL_CITATION { "citationItems" : [ { "id" : "ITEM-1", "itemData" : { "abstract" : "World Malaria Report", "author" : [ { "dropping-particle" : "", "family" : "World Health Organization", "given" : "", "non-dropping-particle" : "", "parse-names" : false, "suffix" : "" } ], "id" : "ITEM-1", "issued" : { "date-parts" : [ [ "2015" ] ] }, "title" : "World Malaria Report 2015", "type" : "report" }, "uris" : [ "http://www.mendeley.com/documents/?uuid=eb4df085-2c01-4588-a362-d58fac3ea449" ] } ], "mendeley" : { "formattedCitation" : "(World Health Organization, 2015)", "plainTextFormattedCitation" : "(World Health Organization, 2015)", "previouslyFormattedCitation" : "(World Health Organization, 2015)" }, "properties" : {  }, "schema" : "https://github.com/citation-style-language/schema/raw/master/csl-citation.json" }</w:instrText>
      </w:r>
      <w:r>
        <w:fldChar w:fldCharType="separate"/>
      </w:r>
      <w:bookmarkStart w:id="202" w:name="__Fieldmark__1354_513475976"/>
      <w:r>
        <w:rPr>
          <w:rFonts w:ascii="Calibri" w:hAnsi="Calibri" w:asciiTheme="majorHAnsi" w:hAnsiTheme="majorHAnsi"/>
          <w:lang w:val="en-GB"/>
        </w:rPr>
        <w:t>(</w:t>
      </w:r>
      <w:bookmarkStart w:id="203" w:name="__Fieldmark__4173_903549581"/>
      <w:r>
        <w:rPr>
          <w:rFonts w:ascii="Calibri" w:hAnsi="Calibri" w:asciiTheme="majorHAnsi" w:hAnsiTheme="majorHAnsi"/>
          <w:lang w:val="en-GB"/>
        </w:rPr>
        <w:t>World Health Organization, 2015)</w:t>
      </w:r>
      <w:r>
        <w:rPr>
          <w:rFonts w:ascii="Calibri" w:hAnsi="Calibri" w:asciiTheme="majorHAnsi" w:hAnsiTheme="majorHAnsi"/>
          <w:lang w:val="en-GB"/>
        </w:rPr>
      </w:r>
      <w:r>
        <w:fldChar w:fldCharType="end"/>
      </w:r>
      <w:bookmarkEnd w:id="202"/>
      <w:bookmarkEnd w:id="20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 the last 15 years, malaria has reduced its incidence worldwide by 41% and mortality by 62%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04" w:name="__Fieldmark__1363_513475976"/>
      <w:r>
        <w:rPr>
          <w:rFonts w:ascii="Calibri" w:hAnsi="Calibri" w:asciiTheme="majorHAnsi" w:hAnsiTheme="majorHAnsi"/>
          <w:lang w:val="en-GB"/>
        </w:rPr>
        <w:t>(</w:t>
      </w:r>
      <w:bookmarkStart w:id="205" w:name="__Fieldmark__4188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04"/>
      <w:bookmarkEnd w:id="205"/>
      <w:r>
        <w:rPr>
          <w:rFonts w:ascii="Calibri" w:hAnsi="Calibri" w:asciiTheme="majorHAnsi" w:hAnsiTheme="majorHAnsi"/>
          <w:lang w:val="en-GB"/>
        </w:rPr>
        <w:t xml:space="preserve">. This is highly due to the scale-up of vector control strategies – insecticide-treated mosquito nets (ITNs) and indoor residual spraying (IRS) – and to the uptake of new technologies such as ACTs and RDTs </w:t>
      </w:r>
      <w:r>
        <w:fldChar w:fldCharType="begin"/>
      </w:r>
      <w:r>
        <w:instrText>ADDIN CSL_CITATION { "citationItems" : [ { "id" : "ITEM-1", "itemData" : { "DOI" : "10.1038/nature15535.The", "ISSN" : "0028-0836", "PMID" : "26375008", "author" : [ { "dropping-particle" : "", "family" : "Bhatt", "given" : "S", "non-dropping-particle" : "", "parse-names" : false, "suffix" : "" }, { "dropping-particle" : "", "family" : "Weiss", "given" : "D J", "non-dropping-particle" : "", "parse-names" : false, "suffix" : "" }, { "dropping-particle" : "", "family" : "Cameron", "given" : "E", "non-dropping-particle" : "", "parse-names" : false, "suffix" : "" }, { "dropping-particle" : "", "family" : "Bisanzio", "given" : "D", "non-dropping-particle" : "", "parse-names" : false, "suffix" : "" }, { "dropping-particle" : "", "family" : "Mappin", "given" : "B", "non-dropping-particle" : "", "parse-names" : false, "suffix" : "" }, { "dropping-particle" : "", "family" : "Dalrymple", "given" : "U", "non-dropping-particle" : "", "parse-names" : false, "suffix" : "" } ], "container-title" : "Nature", "id" : "ITEM-1", "issue" : "7572", "issued" : { "date-parts" : [ [ "2016" ] ] }, "page" : "207-211", "title" : "The effect of malaria control on Plasmodium falciparum in Africa between 2000 and 2015", "type" : "article-journal", "volume" : "526" }, "uris" : [ "http://www.mendeley.com/documents/?uuid=4667bb3d-8cc6-42c4-8cc9-0f6fa2ecf547" ] } ], "mendeley" : { "formattedCitation" : "(Bhatt et al., 2016)", "plainTextFormattedCitation" : "(Bhatt et al., 2016)", "previouslyFormattedCitation" : "(Bhatt et al., 2016)" }, "properties" : {  }, "schema" : "https://github.com/citation-style-language/schema/raw/master/csl-citation.json" }</w:instrText>
      </w:r>
      <w:r>
        <w:fldChar w:fldCharType="separate"/>
      </w:r>
      <w:bookmarkStart w:id="206" w:name="__Fieldmark__1370_513475976"/>
      <w:r>
        <w:rPr>
          <w:rFonts w:ascii="Calibri" w:hAnsi="Calibri" w:asciiTheme="majorHAnsi" w:hAnsiTheme="majorHAnsi"/>
          <w:lang w:val="en-GB"/>
        </w:rPr>
        <w:t>(</w:t>
      </w:r>
      <w:bookmarkStart w:id="207" w:name="__Fieldmark__4216_903549581"/>
      <w:r>
        <w:rPr>
          <w:rFonts w:ascii="Calibri" w:hAnsi="Calibri" w:asciiTheme="majorHAnsi" w:hAnsiTheme="majorHAnsi"/>
          <w:lang w:val="en-GB"/>
        </w:rPr>
        <w:t>Bhatt et al., 2016)</w:t>
      </w:r>
      <w:r>
        <w:rPr>
          <w:rFonts w:ascii="Calibri" w:hAnsi="Calibri" w:asciiTheme="majorHAnsi" w:hAnsiTheme="majorHAnsi"/>
          <w:lang w:val="en-GB"/>
        </w:rPr>
      </w:r>
      <w:r>
        <w:fldChar w:fldCharType="end"/>
      </w:r>
      <w:bookmarkEnd w:id="206"/>
      <w:bookmarkEnd w:id="207"/>
      <w:r>
        <w:rPr>
          <w:rFonts w:ascii="Calibri" w:hAnsi="Calibri" w:asciiTheme="majorHAnsi" w:hAnsiTheme="majorHAnsi"/>
          <w:lang w:val="en-GB"/>
        </w:rPr>
        <w:t>. The WHO adopted an integrated vector management (IVM)</w:t>
      </w:r>
      <w:ins w:id="155" w:author="Unknown Author" w:date="2018-04-12T11:15:00Z">
        <w:r>
          <w:rPr>
            <w:rFonts w:ascii="Calibri" w:hAnsi="Calibri" w:asciiTheme="majorHAnsi" w:hAnsiTheme="majorHAnsi"/>
            <w:lang w:val="en-GB"/>
          </w:rPr>
          <w:t xml:space="preserve"> </w:t>
        </w:r>
      </w:ins>
      <w:ins w:id="156" w:author="Unknown Author" w:date="2018-04-12T11:15:00Z">
        <w:r>
          <w:rPr>
            <w:rFonts w:ascii="Calibri" w:hAnsi="Calibri" w:asciiTheme="majorHAnsi" w:hAnsiTheme="majorHAnsi"/>
            <w:lang w:val="en-GB"/>
          </w:rPr>
          <w:t>programme</w:t>
        </w:r>
      </w:ins>
      <w:r>
        <w:rPr>
          <w:rFonts w:ascii="Calibri" w:hAnsi="Calibri" w:asciiTheme="majorHAnsi" w:hAnsiTheme="majorHAnsi"/>
          <w:lang w:val="en-GB"/>
        </w:rPr>
        <w:t xml:space="preserve"> for national malaria control programmes in Africa, improving ITNs and/or IRS coverage </w:t>
      </w:r>
      <w:r>
        <w:fldChar w:fldCharType="begin"/>
      </w:r>
      <w:r>
        <w:instrText>ADDIN CSL_CITATION { "citationItems" : [ { "id" : "ITEM-1", "itemData" : { "DOI" : "10.1186/1475-2875-7-S1-S4", "ISSN" : "1475-2875", "abstract" : "Integrated vector management (IVM) is defined as \"a rational decision-making process for the optimal use of resources for vector control\" and includes five key elements: 1) evidence-based decision-making, 2) integrated approaches 3), collaboration within the health sector and with other sectors, 4) advocacy, social mobilization, and legislation, and 5) capacity-building. In 2004, the WHO adopted IVM globally for the control of all vector-borne diseases. Important recent progress has been made in developing and promoting IVM for national malaria control programmes in Africa at a time when successful malaria control programmes are scaling-up with insecticide-treated nets (ITN) and/or indoor residual spraying (IRS) coverage. While interventions using only ITNs and/or IRS successfully reduce transmission intensity and the burden of malaria in many situations, it is not clear if these interventions alone will achieve those critical low levels that result in malaria elimination. Despite the successful employment of comprehensive integrated malaria control programmes, further strengthening of vector control components through IVM is relevant, especially during the \"end-game\" where control is successful and further efforts are required to go from low transmission situations to sustained local and country-wide malaria elimination. To meet this need and to ensure sustainability of control efforts, malaria control programmes should strengthen their capacity to use data for decision-making with respect to evaluation of current vector control programmes, employment of additional vector control tools in conjunction with ITN/IRS tactics, case-detection and treatment strategies, and determine how much and what types of vector control and interdisciplinary input are required to achieve malaria elimination. Similarly, on a global scale, there is a need for continued research to identify and evaluate new tools for vector control that can be integrated with existing biomedical strategies within national malaria control programmes. This review provides an overview of how IVM programmes are being implemented, and provides recommendations for further development of IVM to meet the goals of national malaria control programmes in Africa.", "author" : [ { "dropping-particle" : "", "family" : "Beier", "given" : "John C", "non-dropping-particle" : "", "parse-names" : false, "suffix" : "" }, { "dropping-particle" : "", "family" : "Keating", "given" : "Joseph", "non-dropping-particle" : "", "parse-names" : false, "suffix" : "" }, { "dropping-particle" : "", "family" : "Githure", "given" : "John I", "non-dropping-particle" : "", "parse-names" : false, "suffix" : "" }, { "dropping-particle" : "", "family" : "Macdonald", "given" : "Michael B", "non-dropping-particle" : "", "parse-names" : false, "suffix" : "" }, { "dropping-particle" : "", "family" : "Impoinvil", "given" : "Daniel E", "non-dropping-particle" : "", "parse-names" : false, "suffix" : "" }, { "dropping-particle" : "", "family" : "Novak", "given" : "Robert J", "non-dropping-particle" : "", "parse-names" : false, "suffix" : "" } ], "container-title" : "Malaria Journal", "id" : "ITEM-1", "issue" : "Suppl 1", "issued" : { "date-parts" : [ [ "2008", "12", "11" ] ] }, "page" : "S4", "publisher" : "BioMed Central", "title" : "Integrated vector management for malaria control", "type" : "article-journal", "volume" : "7" }, "uris" : [ "http://www.mendeley.com/documents/?uuid=c564275f-b723-35a5-8ff7-759dd7bf960d" ] } ], "mendeley" : { "formattedCitation" : "(Beier et al., 2008)", "plainTextFormattedCitation" : "(Beier et al., 2008)", "previouslyFormattedCitation" : "(Beier et al., 2008)" }, "properties" : {  }, "schema" : "https://github.com/citation-style-language/schema/raw/master/csl-citation.json" }</w:instrText>
      </w:r>
      <w:r>
        <w:fldChar w:fldCharType="separate"/>
      </w:r>
      <w:bookmarkStart w:id="208" w:name="__Fieldmark__1377_513475976"/>
      <w:r>
        <w:rPr>
          <w:rFonts w:ascii="Calibri" w:hAnsi="Calibri" w:asciiTheme="majorHAnsi" w:hAnsiTheme="majorHAnsi"/>
          <w:lang w:val="en-GB"/>
        </w:rPr>
        <w:t>(</w:t>
      </w:r>
      <w:bookmarkStart w:id="209" w:name="__Fieldmark__4226_903549581"/>
      <w:r>
        <w:rPr>
          <w:rFonts w:ascii="Calibri" w:hAnsi="Calibri" w:asciiTheme="majorHAnsi" w:hAnsiTheme="majorHAnsi"/>
          <w:lang w:val="en-GB"/>
        </w:rPr>
        <w:t>Beier et al., 2008)</w:t>
      </w:r>
      <w:r>
        <w:rPr>
          <w:rFonts w:ascii="Calibri" w:hAnsi="Calibri" w:asciiTheme="majorHAnsi" w:hAnsiTheme="majorHAnsi"/>
          <w:lang w:val="en-GB"/>
        </w:rPr>
      </w:r>
      <w:r>
        <w:fldChar w:fldCharType="end"/>
      </w:r>
      <w:bookmarkEnd w:id="208"/>
      <w:bookmarkEnd w:id="209"/>
      <w:r>
        <w:rPr>
          <w:rFonts w:ascii="Calibri" w:hAnsi="Calibri" w:asciiTheme="majorHAnsi" w:hAnsiTheme="majorHAnsi"/>
          <w:lang w:val="en-GB"/>
        </w:rPr>
        <w:t xml:space="preserve">: combining both preventive measures, 57% of the total population in Sub-Saharan Africa has been reached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0" w:name="__Fieldmark__1384_513475976"/>
      <w:r>
        <w:rPr>
          <w:rFonts w:ascii="Calibri" w:hAnsi="Calibri" w:asciiTheme="majorHAnsi" w:hAnsiTheme="majorHAnsi"/>
          <w:lang w:val="en-GB"/>
        </w:rPr>
        <w:t>(</w:t>
      </w:r>
      <w:bookmarkStart w:id="211" w:name="__Fieldmark__4237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0"/>
      <w:bookmarkEnd w:id="211"/>
      <w:r>
        <w:rPr>
          <w:rFonts w:ascii="Calibri" w:hAnsi="Calibri" w:asciiTheme="majorHAnsi" w:hAnsiTheme="majorHAnsi"/>
          <w:lang w:val="en-GB"/>
        </w:rPr>
        <w:t xml:space="preserve">. Intermittent preventive treatment in pregnancy (IPTp) with sulfadoxine-pyrimethamine (SP) may have also contributed to reduce the malaria burden. Although IPTp is far from full coverage, more than 50% of the pregnant women reported receiving at least 1 dose of SP at the antenatal clinic in Sub-Saharan Africa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2" w:name="__Fieldmark__1391_513475976"/>
      <w:r>
        <w:rPr>
          <w:rFonts w:ascii="Calibri" w:hAnsi="Calibri" w:asciiTheme="majorHAnsi" w:hAnsiTheme="majorHAnsi"/>
          <w:lang w:val="en-GB"/>
        </w:rPr>
        <w:t>(</w:t>
      </w:r>
      <w:bookmarkStart w:id="213" w:name="__Fieldmark__4265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2"/>
      <w:bookmarkEnd w:id="213"/>
      <w:r>
        <w:rPr>
          <w:rFonts w:ascii="Calibri" w:hAnsi="Calibri" w:asciiTheme="majorHAnsi" w:hAnsiTheme="majorHAnsi"/>
          <w:lang w:val="en-GB"/>
        </w:rPr>
        <w:t xml:space="preserve">. </w:t>
      </w:r>
      <w:r>
        <w:rPr>
          <w:rFonts w:ascii="Calibri" w:hAnsi="Calibri" w:asciiTheme="majorHAnsi" w:hAnsiTheme="majorHAnsi"/>
          <w:b/>
          <w:lang w:val="en-GB"/>
        </w:rPr>
        <w:t>Table 2</w:t>
      </w:r>
      <w:r>
        <w:rPr>
          <w:rFonts w:ascii="Calibri" w:hAnsi="Calibri" w:asciiTheme="majorHAnsi" w:hAnsiTheme="majorHAnsi"/>
          <w:lang w:val="en-GB"/>
        </w:rPr>
        <w:t xml:space="preserve"> summarises above mentioned malaria control strategies.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Listaclara-nfasis1"/>
        <w:tblW w:w="8978" w:type="dxa"/>
        <w:jc w:val="left"/>
        <w:tblInd w:w="-10" w:type="dxa"/>
        <w:tblCellMar>
          <w:top w:w="0" w:type="dxa"/>
          <w:left w:w="97" w:type="dxa"/>
          <w:bottom w:w="0" w:type="dxa"/>
          <w:right w:w="108" w:type="dxa"/>
        </w:tblCellMar>
        <w:tblLook w:val="04a0" w:noVBand="1" w:noHBand="0" w:lastColumn="0" w:firstColumn="1" w:lastRow="0" w:firstRow="1"/>
      </w:tblPr>
      <w:tblGrid>
        <w:gridCol w:w="1429"/>
        <w:gridCol w:w="7548"/>
      </w:tblGrid>
      <w:tr>
        <w:trPr>
          <w:cnfStyle w:val="100000000000" w:firstRow="1" w:lastRow="0" w:firstColumn="0" w:lastColumn="0" w:oddVBand="0" w:evenVBand="0" w:oddHBand="0" w:evenHBand="0" w:firstRowFirstColumn="0" w:firstRowLastColumn="0" w:lastRowFirstColumn="0" w:lastRowLastColumn="0"/>
        </w:trPr>
        <w:tc>
          <w:tcPr>
            <w:tcW w:w="8977" w:type="dxa"/>
            <w:gridSpan w:val="2"/>
            <w:cnfStyle w:val="001000000000" w:firstRow="0" w:lastRow="0" w:firstColumn="1" w:lastColumn="0" w:oddVBand="0" w:evenVBand="0" w:oddHBand="0" w:evenHBand="0" w:firstRowFirstColumn="0" w:firstRowLastColumn="0" w:lastRowFirstColumn="0" w:lastRowLastColumn="0"/>
            <w:tcBorders>
              <w:bottom w:val="nil"/>
              <w:insideH w:val="nil"/>
            </w:tcBorders>
            <w:shd w:color="auto" w:fill="auto" w:val="clear"/>
            <w:tcMar>
              <w:left w:w="97" w:type="dxa"/>
            </w:tcMar>
          </w:tcPr>
          <w:p>
            <w:pPr>
              <w:pStyle w:val="Normal"/>
              <w:spacing w:lineRule="auto" w:line="360" w:before="0" w:after="0"/>
              <w:rPr>
                <w:rFonts w:ascii="Calibri" w:hAnsi="Calibri" w:asciiTheme="majorHAnsi" w:hAnsiTheme="majorHAnsi"/>
                <w:color w:val="00000A"/>
                <w:sz w:val="22"/>
                <w:szCs w:val="22"/>
                <w:lang w:val="en-GB"/>
              </w:rPr>
            </w:pPr>
            <w:r>
              <w:rPr>
                <w:rFonts w:ascii="Calibri" w:hAnsi="Calibri" w:asciiTheme="majorHAnsi" w:hAnsiTheme="majorHAnsi"/>
                <w:b/>
                <w:bCs/>
                <w:color w:val="00000A"/>
                <w:sz w:val="22"/>
                <w:szCs w:val="22"/>
                <w:lang w:val="en-GB"/>
              </w:rPr>
              <w:t>Table 2. Key interventions for malaria control. IPTp: intermittent preventive treatment in pregnancy; IRS: indoor residual spraying; ITN: insecticide-treated mosquito net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color="auto" w:fill="3366CC" w:val="clear"/>
            <w:tcMar>
              <w:left w:w="97" w:type="dxa"/>
            </w:tcMar>
          </w:tcPr>
          <w:p>
            <w:pPr>
              <w:pStyle w:val="Normal"/>
              <w:spacing w:lineRule="auto" w:line="360"/>
              <w:rPr>
                <w:rFonts w:ascii="Calibri" w:hAnsi="Calibri" w:asciiTheme="majorHAnsi" w:hAnsiTheme="majorHAnsi"/>
                <w:b w:val="false"/>
                <w:b w:val="false"/>
                <w:color w:val="FFFFFF" w:themeColor="background1"/>
                <w:lang w:val="en-GB"/>
              </w:rPr>
            </w:pPr>
            <w:r>
              <w:rPr>
                <w:rFonts w:ascii="Calibri" w:hAnsi="Calibri" w:asciiTheme="majorHAnsi" w:hAnsiTheme="majorHAnsi"/>
                <w:b w:val="false"/>
                <w:bCs/>
                <w:color w:val="FFFFFF" w:themeColor="background1"/>
                <w:lang w:val="en-GB"/>
              </w:rPr>
              <w:t>Intervention</w:t>
            </w:r>
          </w:p>
        </w:tc>
        <w:tc>
          <w:tcPr>
            <w:tcW w:w="7548" w:type="dxa"/>
            <w:tcBorders/>
            <w:shd w:color="auto" w:fill="3366CC"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bCs/>
                <w:color w:val="FFFFFF" w:themeColor="background1"/>
                <w:lang w:val="en-GB"/>
              </w:rPr>
            </w:pPr>
            <w:r>
              <w:rPr>
                <w:rFonts w:ascii="Calibri" w:hAnsi="Calibri" w:asciiTheme="majorHAnsi" w:hAnsiTheme="majorHAnsi"/>
                <w:bCs/>
                <w:color w:val="FFFFFF" w:themeColor="background1"/>
                <w:lang w:val="en-GB"/>
              </w:rPr>
              <w:t>Definition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Diagnosis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Patient of all ages should receive a malaria diagnostic test based on microscopic examination or rapid diagnostic test (RDT).</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IPTp</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IPTp consist of the administration of sulfadoxine-pytimethamine (SP) at each antenatal care visit after the first trimester. Each SP dose must be administered at least one month apart until the delivery.</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bottom w:val="nil"/>
              <w:right w:val="nil"/>
              <w:insideH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IRS</w:t>
            </w:r>
          </w:p>
        </w:tc>
        <w:tc>
          <w:tcPr>
            <w:tcW w:w="7548" w:type="dxa"/>
            <w:tcBorders>
              <w:top w:val="nil"/>
              <w:left w:val="nil"/>
              <w:bottom w:val="nil"/>
              <w:insideH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IRS consists of the application of insecticides to inner walls of dwellings. It is delivered once a year, but twice in perennial transmission areas.</w:t>
            </w:r>
          </w:p>
        </w:tc>
      </w:tr>
      <w:tr>
        <w:trPr>
          <w:cnfStyle w:val="000000100000" w:firstRow="0" w:lastRow="0" w:firstColumn="0" w:lastColumn="0" w:oddVBand="0" w:evenVBand="0" w:oddHBand="1" w:evenHBand="0" w:firstRowFirstColumn="0" w:firstRowLastColumn="0" w:lastRowFirstColumn="0" w:lastRowLastColumn="0"/>
        </w:trPr>
        <w:tc>
          <w:tcPr>
            <w:tcW w:w="1429" w:type="dxa"/>
            <w:cnfStyle w:val="001000000000" w:firstRow="0" w:lastRow="0" w:firstColumn="1" w:lastColumn="0" w:oddVBand="0" w:evenVBand="0" w:oddHBand="0" w:evenHBand="0" w:firstRowFirstColumn="0" w:firstRowLastColumn="0" w:lastRowFirstColumn="0" w:lastRowLastColumn="0"/>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ITN</w:t>
            </w:r>
          </w:p>
        </w:tc>
        <w:tc>
          <w:tcPr>
            <w:tcW w:w="7548" w:type="dxa"/>
            <w:tcBorders/>
            <w:shd w:fill="auto" w:val="clear"/>
            <w:tcMar>
              <w:left w:w="97" w:type="dxa"/>
            </w:tcMar>
          </w:tcPr>
          <w:p>
            <w:pPr>
              <w:pStyle w:val="Normal"/>
              <w:spacing w:lineRule="auto" w:line="360"/>
              <w:cnfStyle w:val="000000100000" w:firstRow="0" w:lastRow="0" w:firstColumn="0" w:lastColumn="0" w:oddVBand="0" w:evenVBand="0" w:oddHBand="1"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An insecticide-treated mosquito net protects the person sleeping under the net blocking malaria transmission.</w:t>
            </w:r>
          </w:p>
        </w:tc>
      </w:tr>
      <w:tr>
        <w:trPr/>
        <w:tc>
          <w:tcPr>
            <w:tcW w:w="1429" w:type="dxa"/>
            <w:cnfStyle w:val="001000000000" w:firstRow="0" w:lastRow="0" w:firstColumn="1" w:lastColumn="0" w:oddVBand="0" w:evenVBand="0" w:oddHBand="0" w:evenHBand="0" w:firstRowFirstColumn="0" w:firstRowLastColumn="0" w:lastRowFirstColumn="0" w:lastRowLastColumn="0"/>
            <w:tcBorders>
              <w:top w:val="nil"/>
              <w:right w:val="nil"/>
              <w:insideV w:val="nil"/>
            </w:tcBorders>
            <w:shd w:fill="auto" w:val="clear"/>
            <w:tcMar>
              <w:left w:w="97" w:type="dxa"/>
            </w:tcMar>
          </w:tcPr>
          <w:p>
            <w:pPr>
              <w:pStyle w:val="Normal"/>
              <w:spacing w:lineRule="auto" w:line="360"/>
              <w:rPr>
                <w:rFonts w:ascii="Calibri" w:hAnsi="Calibri" w:asciiTheme="majorHAnsi" w:hAnsiTheme="majorHAnsi"/>
                <w:sz w:val="22"/>
                <w:szCs w:val="22"/>
                <w:lang w:val="en-GB"/>
              </w:rPr>
            </w:pPr>
            <w:r>
              <w:rPr>
                <w:rFonts w:ascii="Calibri" w:hAnsi="Calibri" w:asciiTheme="majorHAnsi" w:hAnsiTheme="majorHAnsi"/>
                <w:b/>
                <w:bCs/>
                <w:sz w:val="22"/>
                <w:szCs w:val="22"/>
                <w:lang w:val="en-GB"/>
              </w:rPr>
              <w:t>Treatment</w:t>
            </w:r>
          </w:p>
        </w:tc>
        <w:tc>
          <w:tcPr>
            <w:tcW w:w="7548" w:type="dxa"/>
            <w:tcBorders>
              <w:top w:val="nil"/>
              <w:left w:val="nil"/>
            </w:tcBorders>
            <w:shd w:fill="auto" w:val="clear"/>
            <w:tcMar>
              <w:left w:w="117" w:type="dxa"/>
            </w:tcMar>
          </w:tcPr>
          <w:p>
            <w:pPr>
              <w:pStyle w:val="Normal"/>
              <w:spacing w:lineRule="auto" w:line="360"/>
              <w:cnfStyle w:val="000000000000" w:firstRow="0" w:lastRow="0" w:firstColumn="0" w:lastColumn="0" w:oddVBand="0" w:evenVBand="0" w:oddHBand="0" w:evenHBand="0" w:firstRowFirstColumn="0" w:firstRowLastColumn="0" w:lastRowFirstColumn="0" w:lastRowLastColumn="0"/>
              <w:rPr>
                <w:rFonts w:ascii="Calibri" w:hAnsi="Calibri" w:asciiTheme="majorHAnsi" w:hAnsiTheme="majorHAnsi"/>
                <w:sz w:val="22"/>
                <w:szCs w:val="22"/>
                <w:lang w:val="en-GB"/>
              </w:rPr>
            </w:pPr>
            <w:r>
              <w:rPr>
                <w:rFonts w:ascii="Calibri" w:hAnsi="Calibri" w:asciiTheme="majorHAnsi" w:hAnsiTheme="majorHAnsi"/>
                <w:sz w:val="22"/>
                <w:szCs w:val="22"/>
                <w:lang w:val="en-GB"/>
              </w:rPr>
              <w:t>After disease confirmation, patients of all ages should start an artemisinin-based combination therapy (ACT) to treat malaria.</w:t>
            </w:r>
          </w:p>
        </w:tc>
      </w:tr>
    </w:tbl>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Source: World Malaria Report 2015. World Health Organisation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the reduction in morbidity and mortality, Sub-Saharan Africa is the region with the highest disease burden. In 2015, 9,300,000 cases (7,600,000 – 11,000,000) and 25,000 deaths (17,000 – 32,000) were estimated in Mozambique. Strengthening malaria control interventions, international coordination, developing new tools and innovative interventions need to be implemented in the current context of malaria elimination </w:t>
      </w:r>
      <w:r>
        <w:fldChar w:fldCharType="begin"/>
      </w:r>
      <w:r>
        <w:instrText>ADDIN CSL_CITATION { "citationItems" : [ { "id" : "ITEM-1", "itemData" : { "DOI" : "10.1371/journal.pmed.1000406", "ISSN" : "1549-1676", "PMID" : "21311579", "abstract" : "The interruption of malaria transmission worldwide is one of the greatest challenges for international health and development communities. The current expert view suggests that, by aggressively scaling up control with currently available tools and strategies, much greater gains could be achieved against malaria, including elimination from a number of countries and regions; however, even with maximal effort we will fall short of global eradication. The Malaria Eradication Research Agenda (malERA) complements the current research agenda--primarily directed towards reducing morbidity and mortality--with one that aims to identify key knowledge gaps and define the strategies and tools that will result in reducing the basic reproduction rate to less than 1, with the ultimate aim of eradication of the parasite from the human population. Sustained commitment from local communities, civil society, policy leaders, and the scientific community, together with a massive effort to build a strong base of researchers from the endemic areas will be critical factors in the success of this new agenda.", "author" : [ { "dropping-particle" : "", "family" : "Alonso", "given" : "Pedro L", "non-dropping-particle" : "", "parse-names" : false, "suffix" : "" }, { "dropping-particle" : "", "family" : "Brown", "given" : "Graham", "non-dropping-particle" : "", "parse-names" : false, "suffix" : "" }, { "dropping-particle" : "", "family" : "Arevalo-Herrera", "given" : "Myriam", "non-dropping-particle" : "", "parse-names" : false, "suffix" : "" }, { "dropping-particle" : "", "family" : "Binka", "given" : "Fred", "non-dropping-particle" : "", "parse-names" : false, "suffix" : "" }, { "dropping-particle" : "", "family" : "Chitnis", "given" : "Chetan", "non-dropping-particle" : "", "parse-names" : false, "suffix" : "" }, { "dropping-particle" : "", "family" : "Collins", "given" : "Frank", "non-dropping-particle" : "", "parse-names" : false, "suffix" : "" }, { "dropping-particle" : "", "family" : "Doumbo", "given" : "Ogobara K", "non-dropping-particle" : "", "parse-names" : false, "suffix" : "" }, { "dropping-particle" : "", "family" : "Greenwood", "given" : "Brian", "non-dropping-particle" : "", "parse-names" : false, "suffix" : "" }, { "dropping-particle" : "", "family" : "Hall", "given" : "B Fenton", "non-dropping-particle" : "", "parse-names" : false, "suffix" : "" }, { "dropping-particle" : "", "family" : "Levine", "given" : "Myron M", "non-dropping-particle" : "", "parse-names" : false, "suffix" : "" }, { "dropping-particle" : "", "family" : "Mendis", "given" : "Kamini", "non-dropping-particle" : "", "parse-names" : false, "suffix" : "" }, { "dropping-particle" : "", "family" : "Newman", "given" : "Robert D", "non-dropping-particle" : "", "parse-names" : false, "suffix" : "" }, { "dropping-particle" : "V", "family" : "Plowe", "given" : "Christopher", "non-dropping-particle" : "", "parse-names" : false, "suffix" : "" }, { "dropping-particle" : "", "family" : "Rodr\u00edguez", "given" : "Mario Henry", "non-dropping-particle" : "", "parse-names" : false, "suffix" : "" }, { "dropping-particle" : "", "family" : "Sinden", "given" : "Robert", "non-dropping-particle" : "", "parse-names" : false, "suffix" : "" }, { "dropping-particle" : "", "family" : "Slutsker", "given" : "Laurence", "non-dropping-particle" : "", "parse-names" : false, "suffix" : "" }, { "dropping-particle" : "", "family" : "Tanner", "given" : "Marcel", "non-dropping-particle" : "", "parse-names" : false, "suffix" : "" } ], "container-title" : "PLoS medicine", "id" : "ITEM-1", "issue" : "1", "issued" : { "date-parts" : [ [ "2011", "1" ] ] }, "page" : "e1000406", "title" : "A research agenda to underpin malaria eradication.", "type" : "article-journal", "volume" : "8" }, "uris" : [ "http://www.mendeley.com/documents/?uuid=34d5ed3e-ecdb-4507-938b-d0dae275d060" ] }, { "id" : "ITEM-2", "itemData" : { "DOI" : "10.1186/s12916-015-0384-6", "ISBN" : "1291601503", "ISSN" : "1741-7015", "PMID" : "26208740", "abstract" : "Although global efforts in the past decade have halved the number of deaths due to malaria, there are still an estimated 219 million cases of malaria a year, causing more than half a million deaths. In this forum article, we asked experts working in malaria research and control to discuss the ways in which malaria might eventually be eradicated. Their collective views highlight the challenges and opportunities, and explain how multi-factorial and integrated processes could eventually make malaria eradication a reality.", "author" : [ { "dropping-particle" : "", "family" : "Tanner", "given" : "Marcel", "non-dropping-particle" : "", "parse-names" : false, "suffix" : "" }, { "dropping-particle" : "", "family" : "Greenwood", "given" : "Brian", "non-dropping-particle" : "", "parse-names" : false, "suffix" : "" }, { "dropping-particle" : "", "family" : "Whitty", "given" : "Christopher J. M.", "non-dropping-particle" : "", "parse-names" : false, "suffix" : "" }, { "dropping-particle" : "", "family" : "Ansah", "given" : "Evelyn K.", "non-dropping-particle" : "", "parse-names" : false, "suffix" : "" }, { "dropping-particle" : "", "family" : "Price", "given" : "Ric N.", "non-dropping-particle" : "", "parse-names" : false, "suffix" : "" }, { "dropping-particle" : "", "family" : "Dondorp", "given" : "Arjen M.", "non-dropping-particle" : "", "parse-names" : false, "suffix" : "" }, { "dropping-particle" : "", "family" : "Seidlein", "given" : "Lorenz", "non-dropping-particle" : "von", "parse-names" : false, "suffix" : "" }, { "dropping-particle" : "", "family" : "Baird", "given" : "J. Kevin", "non-dropping-particle" : "", "parse-names" : false, "suffix" : "" }, { "dropping-particle" : "", "family" : "Beeson", "given" : "James G.", "non-dropping-particle" : "", "parse-names" : false, "suffix" : "" }, { "dropping-particle" : "", "family" : "Fowkes", "given" : "Freya J.I.", "non-dropping-particle" : "", "parse-names" : false, "suffix" : "" }, { "dropping-particle" : "", "family" : "Hemingway", "given" : "Janet", "non-dropping-particle" : "", "parse-names" : false, "suffix" : "" }, { "dropping-particle" : "", "family" : "Marsh", "given" : "Kevin", "non-dropping-particle" : "", "parse-names" : false, "suffix" : "" }, { "dropping-particle" : "", "family" : "Osier", "given" : "Faith", "non-dropping-particle" : "", "parse-names" : false, "suffix" : "" } ], "container-title" : "BMC Medicine", "id" : "ITEM-2", "issue" : "1", "issued" : { "date-parts" : [ [ "2015" ] ] }, "page" : "167", "publisher" : "BMC Medicine", "title" : "Malaria eradication and elimination: views on how to translate a vision into reality", "type" : "article-journal", "volume" : "13" }, "uris" : [ "http://www.mendeley.com/documents/?uuid=aef57bfe-0d4e-4ca5-a60f-f183778d5cd2" ] } ], "mendeley" : { "formattedCitation" : "(Alonso et al., 2011; Tanner et al., 2015)", "plainTextFormattedCitation" : "(Alonso et al., 2011; Tanner et al., 2015)", "previouslyFormattedCitation" : "(Alonso et al., 2011; Tanner et al., 2015)" }, "properties" : {  }, "schema" : "https://github.com/citation-style-language/schema/raw/master/csl-citation.json" }</w:instrText>
      </w:r>
      <w:r>
        <w:fldChar w:fldCharType="separate"/>
      </w:r>
      <w:bookmarkStart w:id="214" w:name="__Fieldmark__1443_513475976"/>
      <w:r>
        <w:rPr>
          <w:rFonts w:ascii="Calibri" w:hAnsi="Calibri" w:asciiTheme="majorHAnsi" w:hAnsiTheme="majorHAnsi"/>
          <w:lang w:val="en-GB"/>
        </w:rPr>
        <w:t>(</w:t>
      </w:r>
      <w:bookmarkStart w:id="215" w:name="__Fieldmark__4362_903549581"/>
      <w:r>
        <w:rPr>
          <w:rFonts w:ascii="Calibri" w:hAnsi="Calibri" w:asciiTheme="majorHAnsi" w:hAnsiTheme="majorHAnsi"/>
          <w:lang w:val="en-GB"/>
        </w:rPr>
        <w:t>Alonso et al., 2011; Tanner et al., 2015)</w:t>
      </w:r>
      <w:r>
        <w:rPr>
          <w:rFonts w:ascii="Calibri" w:hAnsi="Calibri" w:asciiTheme="majorHAnsi" w:hAnsiTheme="majorHAnsi"/>
          <w:lang w:val="en-GB"/>
        </w:rPr>
      </w:r>
      <w:r>
        <w:fldChar w:fldCharType="end"/>
      </w:r>
      <w:bookmarkEnd w:id="214"/>
      <w:bookmarkEnd w:id="215"/>
      <w:r>
        <w:rPr>
          <w:rFonts w:ascii="Calibri" w:hAnsi="Calibri" w:asciiTheme="majorHAnsi" w:hAnsiTheme="majorHAnsi"/>
          <w:lang w:val="en-GB"/>
        </w:rPr>
        <w:t xml:space="preserve">. This is the case of the development of a vaccine. RTS,S/AS01 vaccine, the first malaria candidate vaccine successfully completing phase 3 trial and was approved by the European Medicines Agency, presenting partial efficacy in young children. The WHO recommended its implementation at a pilot scale in 3 Sub-Saharan African countries to evaluate its future usage as new malaria control intervention </w:t>
      </w:r>
      <w:r>
        <w:fldChar w:fldCharType="begin"/>
      </w:r>
      <w:r>
        <w:instrText>ADDIN CSL_CITATION { "citationItems" : [ { "id" : "ITEM-1", "itemData" : { "DOI" : "10.4135/9781452276151.n221", "ISBN" : "9781452205052", "ISSN" : "0311-4546", "PMID" : "9375913", "abstract" : "m a l a r i a a t l a s p r o j e c t", "author" : [ { "dropping-particle" : "", "family" : "World Health Organization", "given" : "", "non-dropping-particle" : "", "parse-names" : false, "suffix" : "" } ], "container-title" : "World Health Organization", "id" : "ITEM-1", "issued" : { "date-parts" : [ [ "2016" ] ] }, "number-of-pages" : "1-186", "title" : "World Malaria Report 2016", "type" : "report" }, "uris" : [ "http://www.mendeley.com/documents/?uuid=3aa46e75-daed-4425-bef1-f297d1240610" ] } ], "mendeley" : { "formattedCitation" : "(World Health Organization, 2016)", "plainTextFormattedCitation" : "(World Health Organization, 2016)", "previouslyFormattedCitation" : "(World Health Organization, 2016)" }, "properties" : {  }, "schema" : "https://github.com/citation-style-language/schema/raw/master/csl-citation.json" }</w:instrText>
      </w:r>
      <w:r>
        <w:fldChar w:fldCharType="separate"/>
      </w:r>
      <w:bookmarkStart w:id="216" w:name="__Fieldmark__1450_513475976"/>
      <w:r>
        <w:rPr>
          <w:rFonts w:ascii="Calibri" w:hAnsi="Calibri" w:asciiTheme="majorHAnsi" w:hAnsiTheme="majorHAnsi"/>
          <w:lang w:val="en-GB"/>
        </w:rPr>
        <w:t>(</w:t>
      </w:r>
      <w:bookmarkStart w:id="217" w:name="__Fieldmark__4390_903549581"/>
      <w:r>
        <w:rPr>
          <w:rFonts w:ascii="Calibri" w:hAnsi="Calibri" w:asciiTheme="majorHAnsi" w:hAnsiTheme="majorHAnsi"/>
          <w:lang w:val="en-GB"/>
        </w:rPr>
        <w:t>World Health Organization, 2016)</w:t>
      </w:r>
      <w:r>
        <w:rPr>
          <w:rFonts w:ascii="Calibri" w:hAnsi="Calibri" w:asciiTheme="majorHAnsi" w:hAnsiTheme="majorHAnsi"/>
          <w:lang w:val="en-GB"/>
        </w:rPr>
      </w:r>
      <w:r>
        <w:fldChar w:fldCharType="end"/>
      </w:r>
      <w:bookmarkEnd w:id="216"/>
      <w:bookmarkEnd w:id="217"/>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have greatly contributed to malaria research. Many studies have quantified the societal costs of malaria and evaluated the cost-effectiveness and feasibility of malaria control interventions </w:t>
      </w:r>
      <w:r>
        <w:fldChar w:fldCharType="begin"/>
      </w:r>
      <w:r>
        <w:instrText>ADDIN CSL_CITATION { "citationItems" : [ { "id" : "ITEM-1", "itemData" : { "author" : [ { "dropping-particle" : "", "family" : "Ashraf", "given" : "Nava", "non-dropping-particle" : "", "parse-names" : false, "suffix" : "" }, { "dropping-particle" : "", "family" : "Fink", "given" : "Guther", "non-dropping-particle" : "", "parse-names" : false, "suffix" : "" }, { "dropping-particle" : "", "family" : "Weil", "given" : "David N", "non-dropping-particle" : "", "parse-names" : false, "suffix" : "" } ], "id" : "ITEM-1", "issued" : { "date-parts" : [ [ "2010" ] ] }, "number" : "Working Paper 16069", "number-of-pages" : "1-59", "publisher-place" : "NBER Working Paper 16069. Cambridge, MA", "title" : "Evaluating the Effects of Large Scale Health Interventions in Developing Countries: the Zambian malaria initiative", "type" : "report" }, "uris" : [ "http://www.mendeley.com/documents/?uuid=843db7ef-b707-4d6d-844e-0d5d4f293012" ] }, { "id" : "ITEM-2", "itemData" : { "DOI" : "10.1093/oxrep/grv039", "ISBN" : "0266-903X", "ISSN" : "14602121", "abstract" : "Making existing medical technologies accessible and incentivizing the development of new medicines for neglected diseases are major global health policy challenges. Where market incentives are not enough, additional policies and incentives are required to engage the private and public sectors. There have been major advances in tackling global health issues in the last decade with increasing funding for R &amp; D for neglected diseases from high-income countries and from private foundations. Malaria is an illustrative example of both great progress and of continuing challenge. This paper reviews relevant incentives for progress towards malaria control, elimination, and eradication. We describe in depth the most relevant incentives-product development partnerships (PDPs), open source databases (OSDs), priority review vouchers (PRVs), and advance market commitments (AMCs). Finally we evaluate their achievements-existing anti-malarial tools and interventions-and discuss the R &amp; D incentives required to generate further interventions to meet the malaria eradication goal and tackle neglected diseases.", "author" : [ { "dropping-particle" : "", "family" : "Berdud", "given" : "Mikel", "non-dropping-particle" : "", "parse-names" : false, "suffix" : "" }, { "dropping-particle" : "", "family" : "Towse", "given" : "Adrian", "non-dropping-particle" : "", "parse-names" : false, "suffix" : "" }, { "dropping-particle" : "", "family" : "Kettler", "given" : "Hannah", "non-dropping-particle" : "", "parse-names" : false, "suffix" : "" } ], "container-title" : "Oxford Review of Economic Policy", "id" : "ITEM-2", "issue" : "1", "issued" : { "date-parts" : [ [ "2016" ] ] }, "page" : "64-87", "title" : "Fostering incentives for research, development, and delivery of interventions for neglected tropical diseases: Lessons from Malaria", "type" : "article-journal", "volume" : "32" }, "uris" : [ "http://www.mendeley.com/documents/?uuid=863aaa5a-983b-4a4a-b756-732e078246cf" ] }, { "id" : "ITEM-3", "itemData" : { "DOI" : "10.1016/j.socscimed.2003.11.005", "ISBN" : "0277-9536", "ISSN" : "02779536", "PMID" : "15144762", "abstract" : "Malaria is one of the leading causes of morbidity and mortality in the developing world and a major public health problem in India. Disillusioned by in-house residual spraying (IRS), and increasingly aware that insecticide-treated nets (ITNs) have proved to be effective in reducing malaria mortality and morbidity in various epidemiological settings, policy-makers in India are keen to identify which is the more cost-effective malaria control intervention. A community randomised controlled trial was set up in Surat to compare the effectiveness and efficiency of IRS and ITNs. Both control strategies were shown to be effective in preventing malaria over the base-case scenario of early diagnosis and prompt treatment. The mean costs per case averted for ITNs was statistically significantly lower (Rs. 1848, 1567-2209; US$ 52) than IRS (Rs. 3121, 2386-4177, US$ 87). The incremental cost-effectiveness ratio for ITNs over IRS was Rs. 799 (US$ 22). The conclusions were robust to changes in assumptions. This study expands the scope of recent comparative economic evaluations of ITNs and IRS, since it was carried out in a low mortality malaria endemic area. \u00a9 2003 Elsevier Ltd. All rights reserved.", "author" : [ { "dropping-particle" : "", "family" : "Bhatia", "given" : "MR", "non-dropping-particle" : "", "parse-names" : false, "suffix" : "" }, { "dropping-particle" : "", "family" : "Fox-Rushby", "given" : "Julia", "non-dropping-particle" : "", "parse-names" : false, "suffix" : "" }, { "dropping-particle" : "", "family" : "Mills", "given" : "Anne", "non-dropping-particle" : "", "parse-names" : false, "suffix" : "" } ], "container-title" : "Social Science and Medicine", "id" : "ITEM-3", "issue" : "3", "issued" : { "date-parts" : [ [ "2004" ] ] }, "page" : "525-539", "title" : "Cost-effectiveness of malaria control interventions when malaria mortality is low: Insecticide-treated nets versus in-house residual spraying in India", "type" : "article-journal", "volume" : "59" }, "uris" : [ "http://www.mendeley.com/documents/?uuid=c095efd3-8ed9-4643-901c-59d2a2d42f90" ] }, { "id" : "ITEM-4", "itemData" : { "DOI" : "10.1046/j.1365-3156.2003.01150.x", "author" : [ { "dropping-particle" : "", "family" : "Conteh", "given" : "L", "non-dropping-particle" : "", "parse-names" : false, "suffix" : "" }, { "dropping-particle" : "", "family" : "Sharp", "given" : "B L", "non-dropping-particle" : "", "parse-names" : false, "suffix" : "" }, { "dropping-particle" : "", "family" : "Streat", "given" : "E", "non-dropping-particle" : "", "parse-names" : false, "suffix" : "" }, { "dropping-particle" : "", "family" : "Barreto", "given" : "A", "non-dropping-particle" : "", "parse-names" : false, "suffix" : "" }, { "dropping-particle" : "", "family" : "Konar", "given" : "S", "non-dropping-particle" : "", "parse-names" : false, "suffix" : "" } ], "container-title" : "Trop Med Int Health", "id" : "ITEM-4", "issued" : { "date-parts" : [ [ "2004" ] ] }, "title" : "The cost and cost-effectiveness of malaria vector control by residual insecticide house-spraying in southern Mozambique: a rural and urban analysis", "type" : "article-journal", "volume" : "9" }, "uris" : [ "http://www.mendeley.com/documents/?uuid=44d691a5-0193-4a35-85b4-f3430388a3e4" ] }, { "id" : "ITEM-5", "itemData" : { "DOI" : "10.1186/1475-2875-6-21", "ISSN" : "14752875", "abstract" : "Malaria remains a leading cause of morbidity, mortality and non-fatal disability in Zambia, especially among children, pregnant women and the poor. Data gathered by the National Malaria Control Centre has shown that recently observed widespread treatment failure of SP and chloroquine precipitated a surge in malaria-related morbidity and mortality. As a result, the Government has recently replaced chloroquine and SP with combination therapy as first-line treatment for malaria. Despite the acclaimed therapeutic advantages of ACTs over monotherapies with SP and CQ, the cost of ACTs is much greater, raising concerns about affordability in many poor countries such as Zambia. This study evaluates the cost-effectiveness analysis of artemether-lumefantrine, a version of ACTs adopted in Zambia in mid 2004. Using data gathered from patients presenting at public health facilities with suspected malaria, the costs and effects of using ACTs versus SP as first-line treatment for malaria were estimated. The study was conducted in six district sites. Treatment success and reduction in demand for second line treatment constituted the main effectiveness outcomes. The study gathered data on the efficacy of, and compliance to, AL and SP treatment from a random sample of patients. Costs are based on estimated drug, labour, operational and capital inputs. Drug costs were based on dosages and unit prices provided by the Ministry of Health and the manufacturer (Norvatis). The results suggest that AL produces successful treatment at less cost than SP, implying that AL is more cost-effective. While it is acknowledged that implementing national ACT program will require considerable resources, the study demonstrates that the health gains (treatment success) from every dollar spent are significantly greater if AL is used rather than SP. The incremental cost-effectiveness ratio is estimated to be US$4.10. When the costs of second line treatment are considered the ICER of AL becomes negative, indicating that there are greater resource savings associated with AL in terms of reduction of costs of complicated malaria treatment. This study suggests the decision to adopt AL is justifiable on both economic and public health grounds.", "author" : [ { "dropping-particle" : "", "family" : "Chanda", "given" : "Pascalina", "non-dropping-particle" : "", "parse-names" : false, "suffix" : "" }, { "dropping-particle" : "", "family" : "Masiye", "given" : "Felix", "non-dropping-particle" : "", "parse-names" : false, "suffix" : "" }, { "dropping-particle" : "", "family" : "Chitah", "given" : "Bona M", "non-dropping-particle" : "", "parse-names" : false, "suffix" : "" }, { "dropping-particle" : "", "family" : "Sipilanyambe", "given" : "Naawa", "non-dropping-particle" : "", "parse-names" : false, "suffix" : "" }, { "dropping-particle" : "", "family" : "Hawela", "given" : "Moonga", "non-dropping-particle" : "", "parse-names" : false, "suffix" : "" }, { "dropping-particle" : "", "family" : "Banda", "given" : "Patrick", "non-dropping-particle" : "", "parse-names" : false, "suffix" : "" }, { "dropping-particle" : "", "family" : "Okorosobo", "given" : "Tuoyo", "non-dropping-particle" : "", "parse-names" : false, "suffix" : "" } ], "container-title" : "Malaria Journal", "id" : "ITEM-5", "issue" : "1", "issued" : { "date-parts" : [ [ "2007", "2", "21" ] ] }, "page" : "21", "publisher" : "BioMed Central", "title" : "A cost-effectiveness analysis of artemether lumefantrine for treatment of uncomplicated malaria in Zambia", "type" : "article-journal", "volume" : "6" }, "uris" : [ "http://www.mendeley.com/documents/?uuid=5ee7403a-c5a8-3227-80c1-582feaf223f2" ] }, { "id" : "ITEM-6", "itemData" : { "DOI" : "10.1016/j.jdeveco.2003.02.006", "ISSN" : "03043878", "author" : [ { "dropping-particle" : "", "family" : "Cropper", "given" : "Maureen L.", "non-dropping-particle" : "", "parse-names" : false, "suffix" : "" }, { "dropping-particle" : "", "family" : "Haile", "given" : "Mitiku", "non-dropping-particle" : "", "parse-names" : false, "suffix" : "" }, { "dropping-particle" : "", "family" : "Lampietti", "given" : "Julian", "non-dropping-particle" : "", "parse-names" : false, "suffix" : "" }, { "dropping-particle" : "", "family" : "Poulos", "given" : "Christine", "non-dropping-particle" : "", "parse-names" : false, "suffix" : "" }, { "dropping-particle" : "", "family" : "Whittington", "given" : "Dale", "non-dropping-particle" : "", "parse-names" : false, "suffix" : "" } ], "container-title" : "Journal of Development Economics", "id" : "ITEM-6", "issue" : "1", "issued" : { "date-parts" : [ [ "2004", "10" ] ] }, "page" : "303-318", "title" : "The demand for a malaria vaccine: evidence from Ethiopia", "type" : "article-journal", "volume" : "75" }, "uris" : [ "http://www.mendeley.com/documents/?uuid=f3c3b5c3-84b6-4c41-b9e1-62b8f2e03b65" ] }, { "id" : "ITEM-7", "itemData" : { "DOI" : "10.1186/1478-7547-10-5", "ISSN" : "1478-7547", "PMID" : "22475679", "abstract" : "BACKGROUND The World Health Organization recommends that national malaria programmes universally distribute long-lasting insecticide-treated bed nets (LLINs). LLINs provide effective insecticide protection for at least three years while conventional nets must be retreated every 6-12 months. LLINs may also promise longer physical durability (lifespan), but at a higher unit price. No prospective data currently available is sufficient to calculate the comparative cost effectiveness of different net types. We thus constructed a model to explore the cost effectiveness of LLINs, asking how a longer lifespan affects the relative cost effectiveness of nets, and if, when and why LLINs might be preferred to conventional insecticide-treated nets. An innovation of our model is that we also considered the replenishment need i.e. loss of nets over time. METHODS We modelled the choice of net over a 10-year period to facilitate the comparison of nets with different lifespan (and/or price) and replenishment need over time. Our base case represents a large-scale programme which achieves high coverage and usage throughout the population by distributing either LLINs or conventional nets through existing health services, and retreats a large proportion of conventional nets regularly at low cost. We identified the determinants of bed net programme cost effectiveness and parameter values for usage rate, delivery and retreatment cost from the literature. One-way sensitivity analysis was conducted to explicitly compare the differential effect of changing parameters such as price, lifespan, usage and replenishment need. RESULTS If conventional and long-lasting bed nets have the same physical lifespan (3 years), LLINs are more cost effective unless they are priced at more than USD 1.5 above the price of conventional nets. Because a longer lifespan brings delivery cost savings, each one year increase in lifespan can be accompanied by a USD 1 or more increase in price without the cheaper net (of the same type) becoming more cost effective. Distributing replenishment nets each year in addition to the replacement of all nets every 3-4 years increases the number of under-5 deaths averted by 5-14% at a cost of USD 17-25 per additional person protected per annum or USD 1080-1610 per additional under-5 death averted. CONCLUSIONS Our results support the World Health Organization recommendation to distribute only LLINs, while giving guidance on the price thresholds above which this recomme\u2026", "author" : [ { "dropping-particle" : "", "family" : "Pulkki-Br\u00e4nnstr\u00f6m", "given" : "Anni-Maria", "non-dropping-particle" : "", "parse-names" : false, "suffix" : "" }, { "dropping-particle" : "", "family" : "Wolff", "given" : "Claudia", "non-dropping-particle" : "", "parse-names" : false, "suffix" : "" }, { "dropping-particle" : "", "family" : "Br\u00e4nnstr\u00f6m", "given" : "Niklas", "non-dropping-particle" : "", "parse-names" : false, "suffix" : "" }, { "dropping-particle" : "", "family" : "Skordis-Worrall", "given" : "Jolene", "non-dropping-particle" : "", "parse-names" : false, "suffix" : "" } ], "container-title" : "Cost effectiveness and resource allocation", "id" : "ITEM-7", "issued" : { "date-parts" : [ [ "2012", "4", "4" ] ] }, "page" : "5", "publisher" : "BioMed Central", "title" : "Cost and cost effectiveness of long-lasting insecticide-treated bed nets - a model-based analysis", "type" : "article-journal", "volume" : "10" }, "uris" : [ "http://www.mendeley.com/documents/?uuid=857e7a4f-1df0-3256-83bd-c70b5b9ff445" ] }, { "id" : "ITEM-8", "itemData" : { "DOI" : "10.1371/journal.pone.0013407", "ISSN" : "1932-6203", "author" : [ { "dropping-particle" : "", "family" : "Sicuri", "given" : "Elisa", "non-dropping-particle" : "", "parse-names" : false, "suffix" : "" }, { "dropping-particle" : "", "family" : "Bardaj\u00ed", "given" : "Azucena", "non-dropping-particle" : "", "parse-names" : false, "suffix" : "" }, { "dropping-particle" : "", "family" : "Nhampossa", "given" : "Tacilta", "non-dropping-particle" : "", "parse-names" : false, "suffix" : "" }, { "dropping-particle" : "", "family" : "Maixenchs", "given" : "Maria",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"Alonso", "given" : "Pedro L", "non-dropping-particle" : "", "parse-names" : false, "suffix" : "" }, { "dropping-particle" : "", "family" : "Men\u00e9ndez", "given" : "Clara", "non-dropping-particle" : "", "parse-names" : false, "suffix" : "" } ], "container-title" : "PLoS ONE", "editor" : [ { "dropping-particle" : "", "family" : "Seidlein", "given" : "Lorenz", "non-dropping-particle" : "von", "parse-names" : false, "suffix" : "" } ], "id" : "ITEM-8", "issue" : "10", "issued" : { "date-parts" : [ [ "2010", "10", "15" ] ] }, "page" : "e13407", "publisher" : "Public Library of Science", "title" : "Cost-Effectiveness of Intermittent Preventive Treatment of Malaria in Pregnancy in Southern Mozambique", "type" : "article-journal", "volume" : "5" }, "uris" : [ "http://www.mendeley.com/documents/?uuid=7a43555f-67f1-33e4-9811-78a9c562827b" ] }, { "id" : "ITEM-9", "itemData" : { "DOI" : "10.1186/1475-2875-10-305", "ISBN" : "1475-2875 (Electronic)\\r1475-2875 (Linking)", "ISSN" : "14752875", "PMID" : "22004614", "abstract" : "In Gabon, the impact of intermittent preventive treatment of malaria in infants (IPTi) was not statistically significant on malaria reduction, but the impact on moderate anaemia was, with some differences between the intention to treat (ITT) and the according to protocol (ATP) trial analyses. Specifically, ATP was statistically significant, while ITT analysis was borderline. The main reason for the difference between ITT and ATP populations was migration. This study estimates the cost-effectiveness of IPTi on the reduction of anaemia in Gabon, comparing results of the ITT and the ATP clinical trial analyses. Threshold analysis was conducted to identify when the intervention costs and protective efficacy of IPTi for the ATP cohort equalled the ITT cost-effectiveness ratio. Based on IPTi intervention costs, the cost per episode of moderate anaemia averted was US$12.88 (CI 95% 4.19, 30.48) using the ITT analysis and US$11.30 (CI 95% 4.56, 26.66) using the ATP analysis. In order for the ATP results to equal the cost-effectiveness of ITT, total ATP intervention costs should rise from 118.38 to 134 US$ ATP or the protective efficacy should fall from 27% to 18.1%. The uncertainty surrounding the cost-effectiveness ratio using ITT trial results was higher than using ATP results. Migration implies great challenges in the organization of health interventions that require repeat visits in Gabon. This was apparent in the study as the cost-effectiveness of IPTp-SP worsened when drop out from the prevention was taken into account. Despite such challenges, IPTi was both inexpensive and efficacious in averting cases of moderate anaemia in infants", "author" : [ { "dropping-particle" : "", "family" : "Sicuri", "given" : "Elisa", "non-dropping-particle" : "", "parse-names" : false, "suffix" : "" }, { "dropping-particle" : "", "family" : "Biao", "given" : "P.", "non-dropping-particle" : "", "parse-names" : false, "suffix" : "" }, { "dropping-particle" : "", "family" : "Hutton", "given" : "G.", "non-dropping-particle" : "", "parse-names" : false, "suffix" : "" }, { "dropping-particle" : "", "family" : "Tediosi", "given" : "F.", "non-dropping-particle" : "", "parse-names" : false, "suffix" : "" }, { "dropping-particle" : "", "family" : "Menendez", "given" : "C", "non-dropping-particle" : "", "parse-names" : false, "suffix" : "" }, { "dropping-particle" : "", "family" : "Lell", "given" : "B.", "non-dropping-particle" : "", "parse-names" : false, "suffix" : "" }, { "dropping-particle" : "", "family" : "Kremsner", "given" : "P.", "non-dropping-particle" : "", "parse-names" : false, "suffix" : "" }, { "dropping-particle" : "", "family" : "Conteh", "given" : "L.", "non-dropping-particle" : "", "parse-names" : false, "suffix" : "" }, { "dropping-particle" : "", "family" : "Grobusch", "given" : "M.P.", "non-dropping-particle" : "", "parse-names" : false, "suffix" : "" } ], "container-title" : "Malaria Journal", "id" : "ITEM-9", "issue" : "1", "issued" : { "date-parts" : [ [ "2011" ] ] }, "page" : "305", "title" : "Cost-effectiveness of intermittent preventive treatment of malaria in infants (IPTi) for averting anaemia in Gabon: a comparison between intention to treat and according to protocol analyses", "type" : "article-journal", "volume" : "10" }, "uris" : [ "http://www.mendeley.com/documents/?uuid=8aff888d-15b2-41f9-82dd-4a1b6b2bbf19" ] }, { "id" : "ITEM-10", "itemData" : { "DOI" : "10.1016/S1473-3099(07)70027-0", "ISBN" : "1473-3099", "ISSN" : "14733099", "PMID" : "17251086", "abstract" : "Malaria in pregnancy is a major public-health problem in the developing world. However, on review of the evidence, we found its economic impact is not well documented. Adequately capturing the economic burden of malaria in pregnancy requires good epidemiological data including effects to the mother and baby, and better understanding of the long-term health and economic costs of malaria in pregnancy. We reviewed evidence on coverage, equity, cost, and cost-effectiveness of interventions to tackle malaria in pregnancy and found that although key interventions are highly cost effective, coverage is currently inadequate and fails to reach the poor. The evidence on interventions to improve treatment of malaria in pregnancy is scarce, and fails to adequately capture the benefits. There is also lack of data on cost-effectiveness of other interventions, especially outside of Africa, in low transmission settings, and for non-falciparum malaria. Research priorities on the economics of malaria in pregnancy are identified. \u00a9 2007 Elsevier Ltd. All rights reserved.", "author" : [ { "dropping-particle" : "", "family" : "Worrall", "given" : "Eve", "non-dropping-particle" : "", "parse-names" : false, "suffix" : "" }, { "dropping-particle" : "", "family" : "Morel", "given" : "Chantal", "non-dropping-particle" : "", "parse-names" : false, "suffix" : "" }, { "dropping-particle" : "", "family" : "Yeung", "given" : "Shunmay", "non-dropping-particle" : "", "parse-names" : false, "suffix" : "" }, { "dropping-particle" : "", "family" : "Borghi", "given" : "Jo", "non-dropping-particle" : "", "parse-names" : false, "suffix" : "" }, { "dropping-particle" : "", "family" : "Webster", "given" : "Jayne", "non-dropping-particle" : "", "parse-names" : false, "suffix" : "" }, { "dropping-particle" : "", "family" : "Hill", "given" : "Jenny", "non-dropping-particle" : "", "parse-names" : false, "suffix" : "" }, { "dropping-particle" : "", "family" : "Wiseman", "given" : "Virginia", "non-dropping-particle" : "", "parse-names" : false, "suffix" : "" }, { "dropping-particle" : "", "family" : "Mills", "given" : "Anne", "non-dropping-particle" : "", "parse-names" : false, "suffix" : "" } ], "container-title" : "Lancet Infectious Diseases", "id" : "ITEM-10", "issue" : "2", "issued" : { "date-parts" : [ [ "2007" ] ] }, "page" : "156-168", "title" : "The economics of malaria in pregnancy-a review of the evidence and research priorities", "type" : "article-journal", "volume" : "7" }, "uris" : [ "http://www.mendeley.com/documents/?uuid=5a568b99-74a4-4989-9dac-7739694d2cf7" ] } ], "mendeley" : { "formattedCitation" : "(Ashraf et al., 2010; Berdud et al., 2016; Bhatia et al., 2004; Conteh et al., 2004; Chanda et al., 2007; Cropper et al., 2004; Pulkki-Br\u00e4nnstr\u00f6m et al., 2012; Sicuri et al., 2010; Sicuri et al., 2011; Worrall et al., 2007)", "plainTextFormattedCitation" : "(Ashraf et al., 2010; Berdud et al., 2016; Bhatia et al., 2004; Conteh et al., 2004; Chanda et al., 2007; Cropper et al., 2004; Pulkki-Br\u00e4nnstr\u00f6m et al., 2012; Sicuri et al., 2010; Sicuri et al., 2011; Worrall et al., 2007)", "previouslyFormattedCitation" : "(Ashraf et al., 2010; Berdud et al., 2016; Bhatia et al., 2004; Conteh et al., 2004; Chanda et al., 2007; Cropper et al., 2004; Pulkki-Br\u00e4nnstr\u00f6m et al., 2012; Sicuri et al., 2010; Sicuri et al., 2011; Worrall et al., 2007)" }, "properties" : {  }, "schema" : "https://github.com/citation-style-language/schema/raw/master/csl-citation.json" }</w:instrText>
      </w:r>
      <w:r>
        <w:fldChar w:fldCharType="separate"/>
      </w:r>
      <w:bookmarkStart w:id="218" w:name="__Fieldmark__1459_513475976"/>
      <w:r>
        <w:rPr>
          <w:rFonts w:ascii="Calibri" w:hAnsi="Calibri" w:asciiTheme="majorHAnsi" w:hAnsiTheme="majorHAnsi"/>
          <w:lang w:val="en-GB"/>
        </w:rPr>
        <w:t>(</w:t>
      </w:r>
      <w:bookmarkStart w:id="219" w:name="__Fieldmark__4409_903549581"/>
      <w:r>
        <w:rPr>
          <w:rFonts w:ascii="Calibri" w:hAnsi="Calibri" w:asciiTheme="majorHAnsi" w:hAnsiTheme="majorHAnsi"/>
          <w:lang w:val="en-GB"/>
        </w:rPr>
        <w:t>Ashraf et al., 2010; Berdud et al., 2016; Bhatia et al., 2004; Conteh et al., 2004; Chanda et al., 2007; Cropper et al., 2004; Pulkki-Brännström et al., 2012; Sicuri et al., 2010; Sicuri et al., 2011; Worrall et al., 2007)</w:t>
      </w:r>
      <w:r>
        <w:rPr>
          <w:rFonts w:ascii="Calibri" w:hAnsi="Calibri" w:asciiTheme="majorHAnsi" w:hAnsiTheme="majorHAnsi"/>
          <w:lang w:val="en-GB"/>
        </w:rPr>
      </w:r>
      <w:r>
        <w:fldChar w:fldCharType="end"/>
      </w:r>
      <w:bookmarkEnd w:id="218"/>
      <w:bookmarkEnd w:id="219"/>
      <w:r>
        <w:rPr>
          <w:rFonts w:ascii="Calibri" w:hAnsi="Calibri" w:asciiTheme="majorHAnsi" w:hAnsiTheme="majorHAnsi"/>
          <w:lang w:val="en-GB"/>
        </w:rPr>
        <w:t xml:space="preserve">. Contingent valuation methods contributed revealing patients’ preferences for ITNs and ACTs </w:t>
      </w:r>
      <w:r>
        <w:fldChar w:fldCharType="begin"/>
      </w:r>
      <w:r>
        <w:instrText>ADDIN CSL_CITATION { "citationItems" : [ { "id" : "ITEM-1", "itemData" : { "author" : [ { "dropping-particle" : "", "family" : "Bhatia", "given" : "MR", "non-dropping-particle" : "", "parse-names" : false, "suffix" : "" }, { "dropping-particle" : "", "family" : "Fox-Rushby", "given" : "JA", "non-dropping-particle" : "", "parse-names" : false, "suffix" : "" } ], "container-title" : "Health Policy and Planning", "id" : "ITEM-1", "issue" : "4", "issued" : { "date-parts" : [ [ "2002" ] ] }, "page" : "402-411", "title" : "Willingness to pay for treated mosquito nets in Surat, India: the design and descriptive analysis of a household survey", "type" : "article-journal", "volume" : "17" }, "uris" : [ "http://www.mendeley.com/documents/?uuid=96545988-d8a5-44bb-a1cd-6b22d5b44a53" ] }, { "id" : "ITEM-2", "itemData" : { "DOI" : "10.1093/heapol/czs048", "ISBN" : "1460-2237 (Electronic) 0268-1080 (Linking)", "ISSN" : "02681080", "PMID" : "22589226", "abstract" : "In Uganda, as in many parts of Africa, the majority of the population seek treatment for malaria in drug shops as their first point of care; however, parasitological diagnosis is not usually offered in these outlets. Rapid diagnostic tests (RDTs) for malaria have attracted interest in recent years as a tool to improve malaria diagnosis, since they have proved accurate and easy to perform with minimal training. Although RDTs could feasibly be performed by drug shop vendors, it is not known how much customers would be willing to pay for an RDT if offered in these settings. We conducted a contingent valuation survey among drug shop customers in Mukono District, Uganda. Exit interviews were undertaken with customers aged 15 years and above after leaving a drug shop having purchased an antimalarial and/or paracetamol. The bidding game technique was used to elicit the willingness-to-pay (WTP) for an RDT and a course of artemisinin-based combination therapy (ACT) with and without RDT confirmation. Factors associated with WTP were investigated using linear regression. The geometric mean WTP for an RDT was US$0.53, US$1.82 for a course of ACT and US$2.05 for a course of ACT after a positive RDT. Factors strongly associated with a higher WTP for these commodities included having a higher socio-economic status, no fever/malaria in the household in the past 2 weeks and if a malaria diagnosis had been obtained from a qualified health worker prior to visiting the drug shop. The findings further suggest that the WTP for an RDT and a course of ACT among drug shop customers is considerably lower than prevailing and estimated end-user prices for these commodities. Increasing the uptake of ACTs in drug shops and restricting the sale of ACTs to parasitologically confirmed malaria will therefore require additional measures.", "author" : [ { "dropping-particle" : "", "family" : "Hansen", "given" : "Kristian Schultz", "non-dropping-particle" : "", "parse-names" : false, "suffix" : "" }, { "dropping-particle" : "", "family" : "Pedrazzoli", "given" : "Debora", "non-dropping-particle" : "", "parse-names" : false, "suffix" : "" }, { "dropping-particle" : "", "family" : "Mbonye", "given" : "Anthony", "non-dropping-particle" : "", "parse-names" : false, "suffix" : "" }, { "dropping-particle" : "", "family" : "Clarke", "given" : "Sian", "non-dropping-particle" : "", "parse-names" : false, "suffix" : "" }, { "dropping-particle" : "", "family" : "Cundill", "given" : "Bonnie", "non-dropping-particle" : "", "parse-names" : false, "suffix" : "" }, { "dropping-particle" : "", "family" : "Magnussen", "given" : "Pascal", "non-dropping-particle" : "", "parse-names" : false, "suffix" : "" }, { "dropping-particle" : "", "family" : "Yeung", "given" : "Shunmay", "non-dropping-particle" : "", "parse-names" : false, "suffix" : "" } ], "container-title" : "Health Policy and Planning", "id" : "ITEM-2", "issue" : "2", "issued" : { "date-parts" : [ [ "2013" ] ] }, "page" : "185-196", "title" : "Willingness-to-pay for a rapid malaria diagnostic test and artemisinin-based combination therapy from private drug shops in Mukono district, Uganda", "type" : "article-journal", "volume" : "28" }, "uris" : [ "http://www.mendeley.com/documents/?uuid=86b68e52-22d7-47e1-9392-150e84cdedd8" ] }, { "id" : "ITEM-3", "itemData" : { "DOI" : "10.1002/hec.857", "ISBN" : "1057-9230 (Print)\\r1057-9230 (Linking)", "ISSN" : "10579230", "PMID" : "15127427", "abstract" : "This study sought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The OPED elicited better valid estimates of altruistic WTP than BWFU. The potential for more capable people to contribute for the poor in ITNs programs actually exist and malaria control programs should explore altruistic contributions as a means to increase net coverage.; To determine whether the binary with follow-up (BWFU) or open-ended (OPED) contingent valuation question format would yield better valid estimates of altruistic willingness to pay (WTP) and examine the feasibility of using intra-community altruistic contributions to procure insecticide-treated nets (ITNs) for the poor in Nigeria. Structured questionnaires were used to elicit stated altruistic WTP from a random sub-sample of respondents that had either the OPED or BWFU used to elicit WTP in Southeast Nigeria. One month after the survey the respondents were asked to redeem their WTP pledges. Construct validity was determined using econometric analyses, while phi correlation coefficient was used to determine criterion validity. More than 57% of the respondents were hypothetically willing to pay for altruism in both BWFU and OPED groups. Altruistic WTP was positively related to respondents' WTP for own nets (p&lt;0.01) and nets for other household members (p&lt;0.05) in both groups. A total of 27.0% and 33.1% of the respondents with positive hypothetical WTP in the BWFU and OPED actually contributed. Phi correlation coefficient was 0.23 (95%CI 0.20-0.29) in BWFU and 0.49 (95%CI 0.44-0.54) in OPED. The money realised was used to buy some ITNs, which were presented to poor people selected by community leaders. The OPED elicited better valid estimates of altruistic WTP than BWFU. The potential for more capable people to contribute for the poor in ITNs programmes actually exist and malaria control programmes should explore altruistic contributions as a means to increase net coverage.; Objectives\u2026", "author" : [ { "dropping-particle" : "", "family" : "Onwujekwe", "given" : "Obinna", "non-dropping-particle" : "", "parse-names" : false, "suffix" : "" }, { "dropping-particle" : "", "family" : "Uzochuckwu", "given" : "Benjamin", "non-dropping-particle" : "", "parse-names" : false, "suffix" : "" } ], "container-title" : "Health Economics", "id" : "ITEM-3", "issue" : "5", "issued" : { "date-parts" : [ [ "2004" ] ] }, "page" : "477-492", "title" : "Stated and actual altruistic willingness to pay for insecticide-treated nets in Nigeria: Validity of open-ended and binary with follow-up questions", "type" : "article-journal", "volume" : "13" }, "uris" : [ "http://www.mendeley.com/documents/?uuid=68d5340f-7afc-47ff-a402-53dcd1770d69" ] }, { "id" : "ITEM-4", "itemData" : { "DOI" : "10.1186/1475-2875-7-227", "ISSN" : "1475-2875", "PMID" : "18976453", "abstract" : "BACKGROUND: The aim of this study was to analyse willingness to pay (WTP) and ability to pay (ATP) for ACT for children below five years of age in a rural setting in Tanzania before the introduction of artemisinin-based combination therapy (ACT) as first-line treatment for uncomplicated malaria. Socio-economic factors associated with WTP and expectations on anti-malaria drugs, including ACT, were also explored.\n\nMETHODS: Structured interviews and focus group discussions were held with mothers, household heads, health-care workers and village leaders in Ishozi, Gera and Ishunju wards in north-west Tanzania in 2004. Contingent valuation method (CVM) was used with \"take-it-or-leave-it\" as the eliciting method, expressed as WTP for a full course of ACT for a child and households' opportunity cost of ACT was used to assess ATP. The study included descriptive analyses with multivariate adjustment for potential confounding factors.\n\nRESULTS: Among 265 mothers and household heads, 244 (92%, CI = 88%-95%) were willing to pay Tanzanian Shillings (TSh) 500 (US$ 0.46) for a child's dose of ACT, but only 55% (49%-61%) were willing to pay more than TSh 500. Mothers were more often willing to pay than male household heads (adjusted odds ratio = 2.1, CI = 1.2-3.6). Socio-economic status had no significant effect on WTP. The median annual non-subsidized ACT cost for clinical malaria episodes in an average household was calculated as US$ 6.0, which would represent 0.9% of the average total consumption expenditures as estimated from official data in 2001. The cost of non-subsidized ACT represented 7.0% of reported total annual expenditure on food and 33.0% of total annual expenditure on health care.\"Rapid effect,\" \"no adverse effect\" and \"inexpensive\" were the most desired features of an anti-malarial drug.\n\nCONCLUSION: WTP for ACT in this study was less than its real cost and a subsidy is, therefore, needed to enable its equitable affordability. The decision taken in Tanzania to subsidize Coartem fully at governmental health care facilities and at a consumer price of TSh 300-500 (US$ 0.28-0.46) at special designated shops through the programme of Accredited Drug Dispensing Outlets (ADDOs) appears to be well founded.", "author" : [ { "dropping-particle" : "", "family" : "Saulo", "given" : "Eleonor C", "non-dropping-particle" : "", "parse-names" : false, "suffix" : "" }, { "dropping-particle" : "", "family" : "Forsberg", "given" : "Birger C", "non-dropping-particle" : "", "parse-names" : false, "suffix" : "" }, { "dropping-particle" : "", "family" : "Premji", "given" : "Zul", "non-dropping-particle" : "", "parse-names" : false, "suffix" : "" }, { "dropping-particle" : "", "family" : "Montgomery", "given" : "Scott M", "non-dropping-particle" : "", "parse-names" : false, "suffix" : "" }, { "dropping-particle" : "", "family" : "Bj\u00f6rkman", "given" : "Anders", "non-dropping-particle" : "", "parse-names" : false, "suffix" : "" } ], "container-title" : "Malaria journal", "id" : "ITEM-4", "issued" : { "date-parts" : [ [ "2008", "1" ] ] }, "page" : "227", "title" : "Willingness and ability to pay for artemisinin-based combination therapy in rural Tanzania.", "type" : "article-journal", "volume" : "7" }, "uris" : [ "http://www.mendeley.com/documents/?uuid=3e912e71-3429-43f3-9953-74275ae3cff9" ] }, { "id" : "ITEM-5", "itemData" : { "DOI" : "10.1002/hec", "ISBN" : "1099-1050; 1057-9230", "ISSN" : "1099-1050", "PMID" : "19816948", "abstract" : "Despite its centrality for the provision of health care, physician compensation remains understudied, and existing studies either fail to control for time trends, cover small samples from highly particular settings, or examine empirically negligible changes in reward levels. Using a four-year sample of 59 physicians and 1.1 million encounters, we study how physicians at a network of primary care clinics responded when their salaried compensation plan was replaced with a lower salary plus substantial piece rates for encounters and select procedures. Although patient characteristics remained unchanged, physicians increased encounters by 11 to 61%, both by increasing encounters per day and days worked at the network, and increased procedures to the maximum reimbursable level.", "author" : [ { "dropping-particle" : "", "family" : "Trapero-Bertran", "given" : "M", "non-dropping-particle" : "", "parse-names" : false, "suffix" : "" }, { "dropping-particle" : "", "family" : "Mistry", "given" : "H", "non-dropping-particle" : "", "parse-names" : false, "suffix" : "" }, { "dropping-particle" : "", "family" : "Shen", "given" : "J", "non-dropping-particle" : "", "parse-names" : false, "suffix" : "" }, { "dropping-particle" : "", "family" : "Fox-Rushby", "given" : "J", "non-dropping-particle" : "", "parse-names" : false, "suffix" : "" } ], "container-title" : "Health economics", "id" : "ITEM-5", "issued" : { "date-parts" : [ [ "2012" ] ] }, "title" : "A systematic review and meta-analysis of willingness-to-pay values: the case of malaria control interventions", "type" : "article-journal", "volume" : "18" }, "uris" : [ "http://www.mendeley.com/documents/?uuid=3b6555fb-8412-4e2f-b691-038dfab2a6ea" ] }, { "id" : "ITEM-6",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"ITEM-6",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"(Bhatia and Fox-Rushby, 2002; Hansen et al., 2013; Onwujekwe and Uzochuckwu, 2004; Saulo et al., 2008; Trapero-Bertran et al., 2012; Wiseman et al., 2005)", "plainTextFormattedCitation" : "(Bhatia and Fox-Rushby, 2002; Hansen et al., 2013; Onwujekwe and Uzochuckwu, 2004; Saulo et al., 2008; Trapero-Bertran et al., 2012; Wiseman et al., 2005)", "previouslyFormattedCitation" : "(Bhatia and Fox-Rushby, 2002; Hansen et al., 2013; Onwujekwe and Uzochuckwu, 2004; Saulo et al., 2008; Trapero-Bertran et al., 2012; Wiseman et al., 2005)" }, "properties" : {  }, "schema" : "https://github.com/citation-style-language/schema/raw/master/csl-citation.json" }</w:instrText>
      </w:r>
      <w:r>
        <w:fldChar w:fldCharType="separate"/>
      </w:r>
      <w:bookmarkStart w:id="220" w:name="__Fieldmark__1466_513475976"/>
      <w:r>
        <w:rPr>
          <w:rFonts w:ascii="Calibri" w:hAnsi="Calibri" w:asciiTheme="majorHAnsi" w:hAnsiTheme="majorHAnsi"/>
          <w:lang w:val="en-GB"/>
        </w:rPr>
        <w:t>(</w:t>
      </w:r>
      <w:bookmarkStart w:id="221" w:name="__Fieldmark__4422_903549581"/>
      <w:r>
        <w:rPr>
          <w:rFonts w:ascii="Calibri" w:hAnsi="Calibri" w:asciiTheme="majorHAnsi" w:hAnsiTheme="majorHAnsi"/>
          <w:lang w:val="en-GB"/>
        </w:rPr>
        <w:t>Bhatia and Fox-Rushby, 2002; Hansen et al., 2013; Onwujekwe and Uzochuckwu, 2004; Saulo et al., 2008; Trapero-Bertran et al., 2012; Wiseman et al., 2005)</w:t>
      </w:r>
      <w:r>
        <w:rPr>
          <w:rFonts w:ascii="Calibri" w:hAnsi="Calibri" w:asciiTheme="majorHAnsi" w:hAnsiTheme="majorHAnsi"/>
          <w:lang w:val="en-GB"/>
        </w:rPr>
      </w:r>
      <w:r>
        <w:fldChar w:fldCharType="end"/>
      </w:r>
      <w:bookmarkEnd w:id="220"/>
      <w:bookmarkEnd w:id="221"/>
      <w:r>
        <w:rPr>
          <w:rFonts w:ascii="Calibri" w:hAnsi="Calibri" w:asciiTheme="majorHAnsi" w:hAnsiTheme="majorHAnsi"/>
          <w:lang w:val="en-GB"/>
        </w:rPr>
        <w:t xml:space="preserve">, as well as evaluated the market for antimalarial drugs in contexts of lack of competition, access barriers, low quality and lack of information </w:t>
      </w:r>
      <w:r>
        <w:fldChar w:fldCharType="begin"/>
      </w:r>
      <w:r>
        <w:instrText>ADDIN CSL_CITATION { "citationItems" : [ { "id" : "ITEM-1", "itemData" : { "author" : [ { "dropping-particle" : "", "family" : "Bj\u00f6rkman-Nyqvist", "given" : "Martina", "non-dropping-particle" : "", "parse-names" : false, "suffix" : "" }, { "dropping-particle" : "", "family" : "Svensson", "given" : "Jakob", "non-dropping-particle" : "", "parse-names" : false, "suffix" : "" }, { "dropping-particle" : "", "family" : "Yanagizawa-Drott", "given" : "David", "non-dropping-particle" : "", "parse-names" : false, "suffix" : "" } ], "id" : "ITEM-1", "issue" : "9114", "issued" : { "date-parts" : [ [ "2012" ] ] }, "publisher-place" : "CID Working Paper 242. Harvard", "title" : "Can Good Products Drive Out Bad? Evidence from Local Markets for (Fake?) Antimalarial Medicine in Uganda", "type" : "report" }, "uris" : [ "http://www.mendeley.com/documents/?uuid=74a5fd72-ad48-443d-9450-b00ca3ed4c3a" ] }, { "id" : "ITEM-2", "itemData" : { "DOI" : "10.1186/1475-2875-9-144", "ISBN" : "1475-2875 (Electronic)\\r1475-2875 (Linking)", "ISSN" : "1475-2875", "PMID" : "20507555", "abstract" : "Background: Prompt access to effective malaria treatment is central to the success of malaria control worldwide, but few fevers are treated with effective anti-malarials within 24 hours of symptoms onset. The last two decades saw an upsurge of initiatives to improve access to effective malaria treatment in many parts of sub-Saharan Africa. Evidence suggests that the poorest populations remain least likely to seek prompt and effective treatment, but the factors that prevent them from accessing interventions are not well understood. With plans under way to subsidize ACT heavily in Kenya and other parts of Africa, there is urgent need to identify policy actions to promote access among the poor. This paper explores access barriers to effective malaria treatment among the poorest population in four malaria endemic districts in Kenya. Methods: The study was conducted in the poorest areas of four malaria endemic districts in Kenya. Multiple data collection methods were applied including: a cross-sectional survey (n = 708 households); 24 focus group discussions; semi-structured interviews with health workers (n = 34); and patient exit interviews (n = 359). Results: Multiple factors related to affordability, acceptability and availability interact to influence access to prompt and effective treatment. Regarding affordability, about 40 percent of individuals who self-treated using shop-bought drugs and 42 percent who visited a formal health facility reported not having enough money to pay for treatment, and having to adopt coping strategies including borrowing money and getting treatment on credit in order to access care. Other factors influencing affordability were seasonality of illness and income sources, transport costs, and unofficial payments. Regarding acceptability, the major interrelated factors identified were provider patient relationship, patient expectations, beliefs on illness causation, perceived effectiveness of treatment, distrust in the quality of care and poor adherence to treatment regimes. Availability barriers identified were related to facility opening hours, organization of health care services, drug and staff shortages. Conclusions: Ensuring that all individuals suffering from malaria have prompt access to effective treatment remains a challenge for resource constrained health systems. Policy actions to address the multiple barriers of access should be designed around access dimensions, and should include broad interventions to revitalize\u2026", "author" : [ { "dropping-particle" : "", "family" : "Chuma", "given" : "Jane", "non-dropping-particle" : "", "parse-names" : false, "suffix" : "" }, { "dropping-particle" : "", "family" : "Okungu", "given" : "Vincent", "non-dropping-particle" : "", "parse-names" : false, "suffix" : "" }, { "dropping-particle" : "", "family" : "Molyneux", "given" : "Catherine", "non-dropping-particle" : "", "parse-names" : false, "suffix" : "" } ], "container-title" : "Malaria Journal", "id" : "ITEM-2", "issue" : "1", "issued" : { "date-parts" : [ [ "2010" ] ] }, "page" : "144", "title" : "Barriers to prompt and effective malaria treatment among the poorest population in Kenya", "type" : "article-journal", "volume" : "9" }, "uris" : [ "http://www.mendeley.com/documents/?uuid=2725686f-f5a3-4896-80f8-7afdb8602baf" ] }, { "id" : "ITEM-3", "itemData" : { "DOI" : "10.1257/aer.20130267", "ISBN" : "0002-8282", "ISSN" : "00028282", "abstract" : "Abstract In response to widespread resistance to older anti-malarials, the global health community is planning to make new, more effective malaria treatments called Artemisinin Combination Therapies (ACTs) available at heavily subsidized rates throughout Africa. ...", "author" : [ { "dropping-particle" : "", "family" : "Cohen", "given" : "Jessica", "non-dropping-particle" : "", "parse-names" : false, "suffix" : "" }, { "dropping-particle" : "", "family" : "Dupas", "given" : "Pascaline", "non-dropping-particle" : "", "parse-names" : false, "suffix" : "" }, { "dropping-particle" : "", "family" : "Schaner", "given" : "Simone", "non-dropping-particle" : "", "parse-names" : false, "suffix" : "" } ], "container-title" : "American Economic Review", "id" : "ITEM-3", "issue" : "2", "issued" : { "date-parts" : [ [ "2015" ] ] }, "page" : "609-645", "title" : "Price subsidies, diagnostic tests, and targeting of malaria treatment: Evidence from a randomized controlled trial", "type" : "article-journal", "volume" : "105" }, "uris" : [ "http://www.mendeley.com/documents/?uuid=2d8642e1-fa87-41a3-a9b5-db274758e0f3" ] }, { "id" : "ITEM-4", "itemData" : { "DOI" : "10.1093/heapol/czp042", "ISBN" : "1460-2237 (Electronic)\\r0268-1080 (Linking)", "ISSN" : "02681080", "PMID" : "19843636", "abstract" : "It has been suggested that medicines are unaffordable in low-income countries and that world manufacturing and trade policies are responsible for high prices. This research investigates medicine prices in urban Mozambique with the objective of understanding how prices are formed and with what public health implications. The study adopts an economic framework and uses a combination of quantitative and qualitative methods to analyse local pharmaceutical prices and markets. The research findings suggest that: (a) local mark-ups are responsible for up to two-thirds of drugs' final prices in private pharmacies; (b) statutory profit and cost ceilings are applied unevenly, due to lack of government control and collusion among suppliers; and (c) the local market appears to respond effectively to the urban population's diverse needs through its low-cost and high-cost segments, although uncertainty around the quality of generics may be inducing consumers to purchase less affordable drugs. We conclude that local markets play a larger than expected role in the determination of prices in Mozambique, and that more research is needed to address the complex issue of affordability of medicines in low-income countries. We also argue that price controls may not be the most effective way to influence access to medicines in low-income countries, and managing demand and supply towards cheaper effective drugs appears a more suitable policy option.", "author" : [ { "dropping-particle" : "", "family" : "Russo", "given" : "Giuliano", "non-dropping-particle" : "", "parse-names" : false, "suffix" : "" }, { "dropping-particle" : "", "family" : "McPake", "given" : "Barbara", "non-dropping-particle" : "", "parse-names" : false, "suffix" : "" } ], "container-title" : "Health Policy and Planning", "id" : "ITEM-4", "issue" : "1", "issued" : { "date-parts" : [ [ "2010" ] ] }, "page" : "70-84", "title" : "Medicine prices in urban Mozambique: A public health and economic study of pharmaceutical markets and price determinants in low-income settings", "type" : "article-journal", "volume" : "25" }, "uris" : [ "http://www.mendeley.com/documents/?uuid=292222e2-9b24-4fc6-b19a-86c504d76df2" ] } ], "mendeley" : { "formattedCitation" : "(Bj\u00f6rkman-Nyqvist et al., 2012; Chuma et al., 2010; Cohen et al., 2015; Russo and McPake, 2010)", "plainTextFormattedCitation" : "(Bj\u00f6rkman-Nyqvist et al., 2012; Chuma et al., 2010; Cohen et al., 2015; Russo and McPake, 2010)", "previouslyFormattedCitation" : "(Bj\u00f6rkman-Nyqvist et al., 2012; Chuma et al., 2010; Cohen et al., 2015; Russo and McPake, 2010)" }, "properties" : {  }, "schema" : "https://github.com/citation-style-language/schema/raw/master/csl-citation.json" }</w:instrText>
      </w:r>
      <w:r>
        <w:fldChar w:fldCharType="separate"/>
      </w:r>
      <w:bookmarkStart w:id="222" w:name="__Fieldmark__1473_513475976"/>
      <w:r>
        <w:rPr>
          <w:rFonts w:ascii="Calibri" w:hAnsi="Calibri" w:asciiTheme="majorHAnsi" w:hAnsiTheme="majorHAnsi"/>
          <w:lang w:val="en-GB"/>
        </w:rPr>
        <w:t>(</w:t>
      </w:r>
      <w:bookmarkStart w:id="223" w:name="__Fieldmark__4431_903549581"/>
      <w:r>
        <w:rPr>
          <w:rFonts w:ascii="Calibri" w:hAnsi="Calibri" w:asciiTheme="majorHAnsi" w:hAnsiTheme="majorHAnsi"/>
          <w:lang w:val="en-GB"/>
        </w:rPr>
        <w:t>Björkman-Nyqvist et al., 2012; Chuma et al., 2010; Cohen et al., 2015; Russo and McPake, 2010)</w:t>
      </w:r>
      <w:r>
        <w:rPr>
          <w:rFonts w:ascii="Calibri" w:hAnsi="Calibri" w:asciiTheme="majorHAnsi" w:hAnsiTheme="majorHAnsi"/>
          <w:lang w:val="en-GB"/>
        </w:rPr>
      </w:r>
      <w:r>
        <w:fldChar w:fldCharType="end"/>
      </w:r>
      <w:bookmarkEnd w:id="222"/>
      <w:bookmarkEnd w:id="223"/>
      <w:r>
        <w:rPr>
          <w:rFonts w:ascii="Calibri" w:hAnsi="Calibri" w:asciiTheme="majorHAnsi" w:hAnsiTheme="majorHAnsi"/>
          <w:lang w:val="en-GB"/>
        </w:rPr>
        <w:t xml:space="preserve">. Economists have also evaluated alternative means of improving access to treatment and prevention in Sub-Saharan Africa, such as subsidising the private in addition to the public sector </w:t>
      </w:r>
      <w:r>
        <w:fldChar w:fldCharType="begin"/>
      </w:r>
      <w:r>
        <w:instrText>ADDIN CSL_CITATION { "citationItems" : [ { "id" : "ITEM-1", "itemData" : { "DOI" : "10.1371/journal.pmed.1000437", "ISSN" : "1549-1676", "PMID" : "21655317", "abstract" : "BACKGROUND: It has been proposed that artemisinin-based combination therapy (ACT) be subsidised in the private sector in order to improve affordability and access. This study in western Kenya aimed to evaluate the impact of providing subsidized artemether-lumefantrine (AL) through retail providers on the coverage of prompt, effective antimalarial treatment for febrile children aged 3-59 months.\n\nMETHODS AND FINDINGS: We used a cluster-randomized, controlled design with nine control and nine intervention sublocations, equally distributed across three districts in western Kenya. Cross-sectional household surveys were conducted before and after the delivery of the intervention. The intervention comprised provision of subsidized packs of paediatric ACT to retail outlets, training of retail outlet staff, and community awareness activities. The primary outcome was defined as the proportion of children aged 3-59 months reporting fever in the past 2 weeks who started treatment with AL on the same day or following day of fever onset. Data were collected using structured questionnaires and analyzed based on cluster-level summaries, comparing control to intervention arms, while adjusting for other covariates. Data were collected on 2,749 children in the target age group at baseline and 2,662 at follow-up. 29% of children experienced fever within 2 weeks before the interview. At follow-up, the percentage of children receiving AL on the day of fever or the following day had risen by 14.6% points in the control arm (from 5.3% [standard deviation (SD): 3.2%] to 19.9% [SD: 10.0%]) and 40.2% points in the intervention arm (from 4.7% [SD: 3.4%] to 44.9% [SD: 11.7%]). The percentage of children receiving AL was significantly greater in the intervention arm at follow-up, with a difference between the arms of 25.0% points (95% confidence interval [CI]: 14.1%, 35.9%; unadjusted p = 0.0002, adjusted p = 0.0001). No significant differences were observed between arms in the proportion of caregivers who sought treatment for their child's fever by source, or in the child's adherence to AL.\n\nCONCLUSIONS: Subsidizing ACT in the retail sector can significantly increase ACT coverage for reported fevers in rural areas. Further research is needed on the impact and cost-effectiveness of such subsidy programmes at a national scale.\n\nTRIAL REGISTRATION: Current Controlled Trials ISRCTN59275137 and Kenya Pharmacy and Poisons Board Ethical Committee for Clinical Trials PPB/ECCT/08/07.", "author" : [ { "dropping-particle" : "", "family" : "Kangwana", "given" : "Beth P", "non-dropping-particle" : "", "parse-names" : false, "suffix" : "" }, { "dropping-particle" : "V", "family" : "Kedenge", "given" : "Sarah", "non-dropping-particle" : "", "parse-names" : false, "suffix" : "" }, { "dropping-particle" : "", "family" : "Noor", "given" : "Abdisalan M", "non-dropping-particle" : "", "parse-names" : false, "suffix" : "" }, { "dropping-particle" : "", "family" : "Alegana", "given" : "Victor a", "non-dropping-particle" : "", "parse-names" : false, "suffix" : "" }, { "dropping-particle" : "", "family" : "Nyandigisi", "given" : "Andrew J", "non-dropping-particle" : "", "parse-names" : false, "suffix" : "" }, { "dropping-particle" : "", "family" : "Pandit", "given" : "Jayesh", "non-dropping-particle" : "", "parse-names" : false, "suffix" : "" }, { "dropping-particle" : "", "family" : "Fegan", "given" : "Greg W", "non-dropping-particle" : "", "parse-names" : false, "suffix" : "" }, { "dropping-particle" : "", "family" : "Todd", "given" : "James E", "non-dropping-particle" : "", "parse-names" : false, "suffix" : "" }, { "dropping-particle" : "", "family" : "Brooker", "given" : "Simon", "non-dropping-particle" : "", "parse-names" : false, "suffix" : "" }, { "dropping-particle" : "", "family" : "Snow", "given" : "Robert W", "non-dropping-particle" : "", "parse-names" : false, "suffix" : "" }, { "dropping-particle" : "", "family" : "Goodman", "given" : "Catherine a", "non-dropping-particle" : "", "parse-names" : false, "suffix" : "" } ], "container-title" : "PLoS medicine", "id" : "ITEM-1", "issue" : "5", "issued" : { "date-parts" : [ [ "2011", "5" ] ] }, "page" : "e1000437", "title" : "The impact of retail-sector delivery of artemether-lumefantrine on malaria treatment of children under five in Kenya: a cluster randomized controlled trial.", "type" : "article-journal", "volume" : "8" }, "uris" : [ "http://www.mendeley.com/documents/?uuid=4590fc88-f031-4497-bb81-5ae8dd9ad325" ] }, { "id" : "ITEM-2", "itemData" : { "DOI" : "10.1377/hlthaff.25.2.325", "ISSN" : "1544-5208", "PMID" : "16522574", "abstract" : "Artemisinin-based combination treatments (ACTs) are seen as an important tool in the global effort to roll back malaria. With parasite resistance to chloroquine increasing rapidly in many parts of the world, there is greater recognition of the need for a globally coordinated strategy to ensure that artemisinins are not used as monotherapy, which has the potential to cut short their useful therapeutic life. We find that even a partial subsidy could delay the emergence of resistance and that a delay in implementing a subsidy for ACTs could facilitate the emergence of resistance and lower the economic value of ACTs.", "author" : [ { "dropping-particle" : "", "family" : "Laxminarayan", "given" : "Ramanan", "non-dropping-particle" : "", "parse-names" : false, "suffix" : "" }, { "dropping-particle" : "", "family" : "Over", "given" : "Mead", "non-dropping-particle" : "", "parse-names" : false, "suffix" : "" }, { "dropping-particle" : "", "family" : "Smith", "given" : "David L", "non-dropping-particle" : "", "parse-names" : false, "suffix" : "" } ], "container-title" : "Health affairs (Project Hope)", "id" : "ITEM-2", "issue" : "2", "issued" : { "date-parts" : [ [ "2006" ] ] }, "page" : "325-36", "title" : "Will a global subsidy of new antimalarials delay the emergence of resistance and save lives?", "type" : "article-journal", "volume" : "25" }, "uris" : [ "http://www.mendeley.com/documents/?uuid=4fc4d9e2-f827-4993-b385-42b5912e93d2" ] }, { "id" : "ITEM-3", "itemData" : { "DOI" : "10.1093/heapol/czu013", "ISSN" : "1460-2237", "PMID" : "24633915", "abstract" : "BACKGROUND Although artemisinin combination therapies (ACTs) are the recommended first-line treatment for uncomplicated malaria in most endemic countries, they have been prohibitively expensive in the retail sector where many suspected malaria cases purchase treatment. ACT subsidies seek to stimulate consumer demand for the drugs over cheaper but often ineffective alternatives by reducing their prices. Recent evidence from eight regions implementing such subsidies suggests that they are generally successful in improving availability of the drugs and decreasing their retail prices, but it remains unclear whether these outcomes translate to improved use by patients with suspected malaria. METHODS and findings A systematic literature review was conducted to identify reports of experimental or programmatic ACT subsidies to assess the impact of subsidies on consumer use. Relationships between price, use and potential confounding factors were examined using logistic and repeated measures binomial regression models, and approximate magnitudes of associations were assessed with linear regression. In total, 40 studies, 14 peer-reviewed and 26 non-peer-reviewed, were eligible for inclusion in the analysis. The reviewed studies found a substantial increase in private sector ACT use following the introduction of a subsidy. Overall, each $1 decrease in price was linked to a 24 percentage point increase in the fraction of suspected malaria cases purchasing ACTs (R(2) = 0.302). No significant differences were evident in this relationship when comparing the poorest and richest groups, rural vs urban populations or children vs adults. CONCLUSIONS These findings suggest that ACT price reductions can increase their use for suspected malaria, even within poorer, more remote populations that may be most at risk of malaria mortality. Whether a subsidy is appropriate will depend upon local context, including treatment-seeking behaviours and malaria prevalence. This review provides an initial foundation for policymakers to make evidence-based decisions regarding ACT price reductions to increase use of potentially life-saving drugs.", "author" : [ { "dropping-particle" : "", "family" : "Morris", "given" : "Alexandra", "non-dropping-particle" : "", "parse-names" : false, "suffix" : "" }, { "dropping-particle" : "", "family" : "Ward", "given" : "Abigail", "non-dropping-particle" : "", "parse-names" : false, "suffix" : "" }, { "dropping-particle" : "", "family" : "Moonen", "given" : "Bruno", "non-dropping-particle" : "", "parse-names" : false, "suffix" : "" }, { "dropping-particle" : "", "family" : "Sabot", "given" : "Oliver", "non-dropping-particle" : "", "parse-names" : false, "suffix" : "" }, { "dropping-particle" : "", "family" : "Cohen", "given" : "Justin M", "non-dropping-particle" : "", "parse-names" : false, "suffix" : "" } ], "container-title" : "Health policy and planning", "id" : "ITEM-3", "issued" : { "date-parts" : [ [ "2014", "3", "14" ] ] }, "page" : "1-9", "title" : "Price subsidies increase the use of private sector ACTs: evidence from a systematic review.", "type" : "article-journal" }, "uris" : [ "http://www.mendeley.com/documents/?uuid=fa4ac83a-50e9-4902-b552-b480c484c7ce" ] }, { "id" : "ITEM-4", "itemData" : { "DOI" : "10.1186/1475-2875-9-50", "ISSN" : "1475-2875", "PMID" : "20149246", "abstract" : "BACKGROUND: In many low-income countries, the retail sector plays an important role in the treatment of malaria and is increasingly being considered as a channel for improving medicine availability. Retailers are the last link in a distribution chain and their supply sources are likely to have an important influence on the availability, quality and price of malaria treatment. This article presents the findings of a systematic literature review on the retail sector distribution chain for malaria treatment in low and middle-income countries.\n\nMETHODS: Publication databases were searched using key terms relevant to the distribution chain serving all types of anti-malarial retailers. Organizations involved in malaria treatment and distribution chain related activities were contacted to identify unpublished studies.\n\nRESULTS: A total of 32 references distributed across 12 developing countries were identified. The distribution chain had a pyramid shape with numerous suppliers at the bottom and fewer at the top. The chain supplying rural and less-formal outlets was made of more levels than that serving urban and more formal outlets. Wholesale markets tended to be relatively concentrated, especially at the top of the chain where few importers accounted for most of the anti-malarial volumes sold. Wholesale price mark-ups varied across chain levels, ranging from 27% to 99% at the top of the chain, 8% at intermediate level (one study only) and 2% to 67% at the level supplying retailers directly. Retail mark-ups tended to be higher, and varied across outlet types, ranging from 3% to 566% in pharmacies, 29% to 669% in drug shops and 100% to 233% in general shops. Information on pricing determinants was very limited.\n\nCONCLUSIONS: Evidence on the distribution chain for retail sector malaria treatment was mainly descriptive and lacked representative data on a national scale. These are important limitations in the advent of the Affordable Medicine Facility for Malaria, which aims to increase consumer access to artemisinin-based combination therapy (ACT), through a subsidy introduced at the top of the distribution chain. This review calls for rigorous distribution chain analysis, notably on the factors that influence ACT availability and prices in order to contribute to efforts towards improved access to effective malaria treatment.", "author" : [ { "dropping-particle" : "", "family" : "Patouillard", "given" : "Edith", "non-dropping-particle" : "", "parse-names" : false, "suffix" : "" }, { "dropping-particle" : "", "family" : "Hanson", "given" : "Kara G", "non-dropping-particle" : "", "parse-names" : false, "suffix" : "" }, { "dropping-particle" : "", "family" : "Goodman", "given" : "Catherine a", "non-dropping-particle" : "", "parse-names" : false, "suffix" : "" } ], "container-title" : "Malaria journal", "id" : "ITEM-4", "issued" : { "date-parts" : [ [ "2010", "1" ] ] }, "page" : "50", "title" : "Retail sector distribution chains for malaria treatment in the developing world: a review of the literature.", "type" : "article-journal", "volume" : "9" }, "uris" : [ "http://www.mendeley.com/documents/?uuid=38791d2f-3d36-48c3-802a-df00f301f0c0" ] }, { "id" : "ITEM-5", "itemData" : { "DOI" : "10.1371/journal.pone.0006857", "ISSN" : "1932-6203", "PMID" : "19724644", "abstract" : "BACKGROUND: WHO estimates that only 3% of fever patients use recommended artemisinin-based combination therapies (ACTs), partly reflecting their high prices in the retail sector from where many patients seek treatment. To overcome this challenge, a global ACT subsidy has been proposed. We tested this proposal through a pilot program in rural Tanzania.\n\nMETHODS/PRINCIPAL FINDINGS: Three districts were assigned to serve either as a control or to receive the subsidy plus a package of supporting interventions. From October 2007, ACTs were sold at a 90% subsidy through the normal private supply chain to intervention district drug shops. Data were collected at baseline and during intervention using interviews with drug shop customers, retail audits, mystery shoppers, and audits of public and NGO facilities. The proportion of consumers in the intervention districts purchasing ACTs rose from 1% at baseline to 44.2% one year later (p&lt;0.001), and was significantly higher among consumers purchasing for children under 5 than for adults (p = 0.005). No change in ACT usage was observed in the control district. Consumers paid a mean price of $0.58 for ACTs, which did not differ significantly from the price paid for sulphadoxine-pyrimethamine, the most common alternative. Drug shops in population centers were significantly more likely to stock ACTs than those in more remote areas (p&lt;0.001).\n\nCONCLUSIONS: A subsidy introduced at the top of the private sector supply chain can significantly increase usage of ACTs and reduce their retail price to the level of common monotherapies. Additional interventions may be needed to ensure access to ACTs in remote areas and for poorer individuals who appear to seek treatment at drug shops less frequently.\n\nTRIAL REGISTRATION: Controlled-Trials.com ISRCTN39125414.", "author" : [ { "dropping-particle" : "", "family" : "Sabot", "given" : "Oliver J", "non-dropping-particle" : "", "parse-names" : false, "suffix" : "" }, { "dropping-particle" : "", "family" : "Mwita", "given" : "Alex", "non-dropping-particle" : "", "parse-names" : false, "suffix" : "" }, { "dropping-particle" : "", "family" : "Cohen", "given" : "Justin M", "non-dropping-particle" : "", "parse-names" : false, "suffix" : "" }, { "dropping-particle" : "", "family" : "Ipuge", "given" : "Yahya", "non-dropping-particle" : "", "parse-names" : false, "suffix" : "" }, { "dropping-particle" : "", "family" : "Gordon", "given" : "Megumi", "non-dropping-particle" : "", "parse-names" : false, "suffix" : "" }, { "dropping-particle" : "", "family" : "Bishop", "given" : "David", "non-dropping-particle" : "", "parse-names" : false, "suffix" : "" }, { "dropping-particle" : "", "family" : "Odhiambo", "given" : "Moses", "non-dropping-particle" : "", "parse-names" : false, "suffix" : "" }, { "dropping-particle" : "", "family" : "Ward", "given" : "Lorrayne", "non-dropping-particle" : "", "parse-names" : false, "suffix" : "" }, { "dropping-particle" : "", "family" : "Goodman", "given" : "Catherine", "non-dropping-particle" : "", "parse-names" : false, "suffix" : "" } ], "container-title" : "PloS one", "id" : "ITEM-5", "issue" : "9", "issued" : { "date-parts" : [ [ "2009", "1" ] ] }, "page" : "e6857", "title" : "Piloting the global subsidy: the impact of subsidized artemisinin-based combination therapies distributed through private drug shops in rural Tanzania.", "type" : "article-journal", "volume" : "4" }, "uris" : [ "http://www.mendeley.com/documents/?uuid=45ba1371-4379-42bb-a2b2-71bdee15f79e" ] }, { "id" : "ITEM-6", "itemData" : { "DOI" : "10.1016/S0140-6736(12)61732-2", "ISSN" : "1474-547X", "PMID" : "23122217", "abstract" : "BACKGROUND: Malaria is one of the greatest causes of mortality worldwide. Use of the most effective treatments for malaria remains inadequate for those in need, and there is concern over the emergence of resistance to these treatments. In 2010, the Global Fund launched the Affordable Medicines Facility--malaria (AMFm), a series of national-scale pilot programmes designed to increase the access and use of quality-assured artemisinin based combination therapies (QAACTs) and reduce that of artemisinin monotherapies for treatment of malaria. AMFm involves manufacturer price negotiations, subsidies on the manufacturer price of each treatment purchased, and supporting interventions such as communications campaigns. We present findings on the effect of AMFm on QAACT price, availability, and market share, 6-15 months after the delivery of subsidised ACTs in Ghana, Kenya, Madagascar, Niger, Nigeria, Uganda, and Tanzania (including Zanzibar).\n\nMETHODS: We did nationally representative baseline and endpoint surveys of public and private sector outlets that stock antimalarial treatments. QAACTs were identified on the basis of the Global Fund's quality assurance policy. Changes in availability, price, and market share were assessed against specified success benchmarks for 1 year of AMFm implementation. Key informant interviews and document reviews recorded contextual factors and the implementation process.\n\nFINDINGS: In all pilots except Niger and Madagascar, there were large increases in QAACT availability (25\u00b78-51\u00b79 percentage points), and market share (15\u00b79-40\u00b73 percentage points), driven mainly by changes in the private for-profit sector. Large falls in median price for QAACTs per adult equivalent dose were seen in the private for-profit sector in six pilots, ranging from US$1\u00b728 to $4\u00b782. The market share of oral artemisinin monotherapies decreased in Nigeria and Zanzibar, the two pilots where it was more than 5% at baseline.\n\nINTERPRETATION: Subsidies combined with supporting interventions can be effective in rapidly improving availability, price, and market share of QAACTs, particularly in the private for-profit sector. Decisions about the future of AMFm should also consider the effect on use in vulnerable populations, access to malaria diagnostics, and cost-effectiveness.\n\nFUNDING: The Global Fund to Fight AIDS, Tuberculosis and Malaria, and the Bill &amp; Melinda Gates Foundation.", "author" : [ { "dropping-particle" : "", "family" : "Tougher", "given" : "Sarah", "non-dropping-particle" : "", "parse-names" : false, "suffix" : "" }, { "dropping-particle" : "", "family" : "Ye", "given" : "Yazoume", "non-dropping-particle" : "", "parse-names" : false, "suffix" : "" }, { "dropping-particle" : "", "family" : "Amuasi", "given" : "John H", "non-dropping-particle" : "", "parse-names" : false, "suffix" : "" }, { "dropping-particle" : "", "family" : "Kourgueni", "given" : "Idrissa a", "non-dropping-particle" : "", "parse-names" : false, "suffix" : "" }, { "dropping-particle" : "", "family" : "Thomson", "given" : "Rebecca", "non-dropping-particle" : "", "parse-names" : false, "suffix" : "" }, { "dropping-particle" : "", "family" : "Goodman", "given" : "Catherine", "non-dropping-particle" : "", "parse-names" : false, "suffix" : "" }, { "dropping-particle" : "", "family" : "Mann", "given" : "Andrea G", "non-dropping-particle" : "", "parse-names" : false, "suffix" : "" }, { "dropping-particle" : "", "family" : "Ren", "given" : "Ruilin", "non-dropping-particle" : "", "parse-names" : false, "suffix" : "" }, { "dropping-particle" : "", "family" : "Willey", "given" : "Barbara a", "non-dropping-particle" : "", "parse-names" : false, "suffix" : "" }, { "dropping-particle" : "", "family" : "Adegoke", "given" : "Catherine a", "non-dropping-particle" : "", "parse-names" : false, "suffix" : "" }, { "dropping-particle" : "", "family" : "Amin", "given" : "Abdinasir", "non-dropping-particle" : "", "parse-names" : false, "suffix" : "" }, { "dropping-particle" : "", "family" : "Ansong", "given" : "Daniel", "non-dropping-particle" : "", "parse-names" : false, "suffix" : "" }, { "dropping-particle" : "", "family" : "Bruxvoort", "given" : "Katia", "non-dropping-particle" : "", "parse-names" : false, "suffix" : "" }, { "dropping-particle" : "", "family" : "Diallo", "given" : "Diadier a", "non-dropping-particle" : "", "parse-names" : false, "suffix" : "" }, { "dropping-particle" : "", "family" : "Diap", "given" : "Graciela", "non-dropping-particle" : "", "parse-names" : false, "suffix" : "" }, { "dropping-particle" : "", "family" : "Festo", "given" : "Charles", "non-dropping-particle" : "", "parse-names" : false, "suffix" : "" }, { "dropping-particle" : "", "family" : "Johanes", "given" : "Boniface", "non-dropping-particle" : "", "parse-names" : false, "suffix" : "" }, { "dropping-particle" : "", "family" : "Juma", "given" : "Elizabeth", "non-dropping-particle" : "", "parse-names" : false, "suffix" : "" }, { "dropping-particle" : "", "family" : "Kalolella", "given" : "Admirabilis", "non-dropping-particle" : "", "parse-names" : false, "suffix" : "" }, { "dropping-particle" : "", "family" : "Malam", "given" : "Oumarou", "non-dropping-particle" : "", "parse-names" : false, "suffix" : "" }, { "dropping-particle" : "", "family" : "Mberu", "given" : "Blessing", "non-dropping-particle" : "", "parse-names" : false, "suffix" : "" }, { "dropping-particle" : "", "family" : "Ndiaye", "given" : "Salif", "non-dropping-particle" : "", "parse-names" : false, "suffix" : "" }, { "dropping-particle" : "", "family" : "Nguah", "given" : "Samuel B", "non-dropping-particle" : "", "parse-names" : false, "suffix" : "" }, { "dropping-particle" : "", "family" : "Seydou", "given" : "Moctar", "non-dropping-particle" : "", "parse-names" : false, "suffix" : "" }, { "dropping-particle" : "", "family" : "Taylor", "given" : "Mark", "non-dropping-particle" : "", "parse-names" : false, "suffix" : "" }, { "dropping-particle" : "", "family" : "Rueda", "given" : "Sergio Torres", "non-dropping-particle" : "", "parse-names" : false, "suffix" : "" }, { "dropping-particle" : "", "family" : "Wamukoya", "given" : "Marilyn", "non-dropping-particle" : "", "parse-names" : false, "suffix" : "" }, { "dropping-particle" : "", "family" : "Arnold", "given" : "Fred", "non-dropping-particle" : "", "parse-names" : false, "suffix" : "" }, { "dropping-particle" : "", "family" : "Hanson", "given" : "Kara", "non-dropping-particle" : "", "parse-names" : false, "suffix" : "" } ], "container-title" : "Lancet", "id" : "ITEM-6", "issue" : "9857", "issued" : { "date-parts" : [ [ "2012", "12", "1" ] ] }, "page" : "1916-26", "publisher" : "Elsevier Ltd", "title" : "Effect of the Affordable Medicines Facility--malaria (AMFm) on the availability, price, and market share of quality-assured artemisinin-based combination therapies in seven countries: a before-and-after analysis of outlet survey data.", "type" : "article-journal", "volume" : "380" }, "uris" : [ "http://www.mendeley.com/documents/?uuid=1b036d18-6cd4-4a23-86e9-0546484bda07" ] }, { "id" : "ITEM-7", "itemData" : { "DOI" : "10.1111/j.1365-3156.2004.01355.x", "ISBN" : "1360-2276", "ISSN" : "13602276", "PMID" : "15655010", "abstract" : "Widespread coverage of vulnerable populations with insecticide-treated nets (ITNs) constitutes an important component of the Roll Back Malaria (RBM) strategy to control malaria. The Abuja Targets call for 60% coverage of children under 5 years of age and pregnant women by 2005; but current coverage in Africa is unacceptably low. The RBM 'Strategic Framework for Coordinated National Action in Scaling-up Insecticide-Treated Netting Programmes in Africa' promotes coordinated national action and advocates sustained public provision of targeted subsidies to maximise public health benefits, alongside support and stimulation of the private sector. Several countries have already planned or initiated targeted subsidy schemes either on a pilot scale or on a national scale, and have valuable experience which can inform future interventions. The WHO RBM 'Workshop on mapping models for delivering ITNs through targeted subsidies' held in Zambia in 2003 provided an opportunity to share and document these country experiences. This paper brings together experiences presented at the workshop with other information on experiences of targeting subsidies on ITNs, net treatment kits and retreatment services (ITN products) in order to describe alternative approaches, highlight their similarities and differences, outline lessons learnt, and identify gaps in knowledge. We find that while there is a growing body of knowledge on different approaches to targeting ITN subsidies, there are significant gaps in knowledge in crucial areas. Key questions regarding how best to target, how much it will cost and what outcomes (levels of coverage) to expect remain unanswered. High quality, well-funded monitoring and evaluation of alternative approaches to targeting ITN subsidies is vital to develop a knowledge base so that countries can design and implement effective strategies to target ITN subsidies.", "author" : [ { "dropping-particle" : "", "family" : "Worrall", "given" : "Eve", "non-dropping-particle" : "", "parse-names" : false, "suffix" : "" }, { "dropping-particle" : "", "family" : "Hill", "given" : "Jenny", "non-dropping-particle" : "", "parse-names" : false, "suffix" : "" }, { "dropping-particle" : "", "family" : "Webster", "given" : "Jayne", "non-dropping-particle" : "", "parse-names" : false, "suffix" : "" }, { "dropping-particle" : "", "family" : "Mortimer", "given" : "Julia", "non-dropping-particle" : "", "parse-names" : false, "suffix" : "" } ], "container-title" : "Tropical Medicine and International Health", "id" : "ITEM-7", "issue" : "1", "issued" : { "date-parts" : [ [ "2005" ] ] }, "page" : "19-31", "title" : "Experience of targeting subsidies on insecticide-treated nets: What do we know and what are the knowledge gaps?", "type" : "article-journal", "volume" : "10" }, "uris" : [ "http://www.mendeley.com/documents/?uuid=63edeb1d-dcae-45b8-b89b-2f44368ef7ec" ] } ], "mendeley" : { "formattedCitation" : "(Kangwana et al., 2011; Laxminarayan, Over, et al., 2006; Morris et al., 2014; Patouillard et al., 2010; Sabot et al., 2009; Tougher et al., 2012; Worrall, Hill, et al., 2005)", "plainTextFormattedCitation" : "(Kangwana et al., 2011; Laxminarayan, Over, et al., 2006; Morris et al., 2014; Patouillard et al., 2010; Sabot et al., 2009; Tougher et al., 2012; Worrall, Hill, et al., 2005)", "previouslyFormattedCitation" : "(Kangwana et al., 2011; Laxminarayan, Over, et al., 2006; Morris et al., 2014; Patouillard et al., 2010; Sabot et al., 2009; Tougher et al., 2012; Worrall, Hill, et al., 2005)" }, "properties" : {  }, "schema" : "https://github.com/citation-style-language/schema/raw/master/csl-citation.json" }</w:instrText>
      </w:r>
      <w:r>
        <w:fldChar w:fldCharType="separate"/>
      </w:r>
      <w:bookmarkStart w:id="224" w:name="__Fieldmark__1480_513475976"/>
      <w:r>
        <w:rPr>
          <w:rFonts w:ascii="Calibri" w:hAnsi="Calibri" w:asciiTheme="majorHAnsi" w:hAnsiTheme="majorHAnsi"/>
          <w:lang w:val="en-GB"/>
        </w:rPr>
        <w:t>(</w:t>
      </w:r>
      <w:bookmarkStart w:id="225" w:name="__Fieldmark__4445_903549581"/>
      <w:r>
        <w:rPr>
          <w:rFonts w:ascii="Calibri" w:hAnsi="Calibri" w:asciiTheme="majorHAnsi" w:hAnsiTheme="majorHAnsi"/>
          <w:lang w:val="en-GB"/>
        </w:rPr>
        <w:t>Kangwana et al., 2011; Laxminarayan, Over, et al., 2006; Morris et al., 2014; Patouillard et al., 2010; Sabot et al., 2009; Tougher et al., 2012; Worrall, Hill, et al., 2005)</w:t>
      </w:r>
      <w:r>
        <w:rPr>
          <w:rFonts w:ascii="Calibri" w:hAnsi="Calibri" w:asciiTheme="majorHAnsi" w:hAnsiTheme="majorHAnsi"/>
          <w:lang w:val="en-GB"/>
        </w:rPr>
      </w:r>
      <w:r>
        <w:fldChar w:fldCharType="end"/>
      </w:r>
      <w:bookmarkEnd w:id="224"/>
      <w:bookmarkEnd w:id="225"/>
      <w:r>
        <w:rPr>
          <w:rFonts w:ascii="Calibri" w:hAnsi="Calibri" w:asciiTheme="majorHAnsi" w:hAnsiTheme="majorHAnsi"/>
          <w:lang w:val="en-GB"/>
        </w:rPr>
        <w:t xml:space="preserve">, with a particular interest in equality and equity </w:t>
      </w:r>
      <w:r>
        <w:fldChar w:fldCharType="begin"/>
      </w:r>
      <w:r>
        <w:instrText>ADDIN CSL_CITATION { "citationItems" : [ { "id" : "ITEM-1", "itemData" : { "ISSN" : "0002-9637", "PMID" : "17620625", "abstract" : "This study determined inequities of using community health workers (CHWs) for timely and appropriate treatment of malaria in terms of: 1) valuation of benefits; 2) actual purchase of drugs; and 3) payment modality in southeast Nigeria. Socioeconomic status (SES) influenced the valuation of benefits. Also, the poorest households consumed more of the cheaper drug and less of the more expensive drug (P &lt; 0.05). The least poor households mostly paid in full, whereas the poorest households paid mostly through installments (P &lt; 0.05). The use of CHWs improved overall geographic but not socioeconomic equity to the drugs. Hence, interventions for timely and appropriate treatment of malaria should be accompanied by drug delivery and payment strategies that would ensure SES equity in consumption of appropriate malaria treatment services.", "author" : [ { "dropping-particle" : "", "family" : "Onwujekwe", "given" : "Obinna", "non-dropping-particle" : "", "parse-names" : false, "suffix" : "" }, { "dropping-particle" : "", "family" : "Ojukwu", "given" : "Juliana", "non-dropping-particle" : "", "parse-names" : false, "suffix" : "" }, { "dropping-particle" : "", "family" : "Shu", "given" : "Elvis", "non-dropping-particle" : "", "parse-names" : false, "suffix" : "" }, { "dropping-particle" : "", "family" : "Uzochukwu", "given" : "Benjamin", "non-dropping-particle" : "", "parse-names" : false, "suffix" : "" } ], "container-title" : "The American journal of tropical medicine and hygiene", "id" : "ITEM-1", "issue" : "1", "issued" : { "date-parts" : [ [ "2007", "7" ] ] }, "page" : "16-21", "title" : "Inequities in valuation of benefits, choice of drugs, and mode of payment for malaria treatment services provided by community health workers in Nigeria.", "type" : "article-journal", "volume" : "77" }, "uris" : [ "http://www.mendeley.com/documents/?uuid=8bbf0681-88a6-4810-bd62-1493803cb092" ] }, { "id" : "ITEM-2", "itemData" : { "DOI" : "10.1186/s12936-016-1425-0", "ISBN" : "1293601614250", "ISSN" : "1475-2875", "abstract" : "While recognizing the recent achievement in the global fight against malaria, the disease remains a challenge to health systems in low-income countries. Beyond widespread consensuses about prioritizing malaria prevention, little is known about the prevailing status of long-lasting insecticidal nets (LLINs) and indoor residual spraying (IRS) across different levels of wealth strata. The aim of this study was to evaluate the socioeconomic related dimension of inequalities in malaria prevention interventions. This study was conducted in July\u2013August 2014 in Adami Tullu district in the South-central Ethiopia, among 6069 households. A cross-sectional data were collected on household characteristics, LLIN ownership and IRS coverage. Principal component analysis technique was used for ranking households based on socioeconomic position. The inequality was measured using concentration indices and concentration curve. Decomposition method was employed in order to quantify the percentage contribution of each socioeconomic related variable on the overall inequality. The proportion of households with at least one LLIN was 11.6\u00a0% and IRS coverage was 72.5\u00a0%. The Erreygers normalized concentration index was 0.0627 for LLIN and 0.0383 for IRS. Inequality in LLIN ownership was mainly associated with difference in housing situation, household size and access to mass-media and telecommunication service. Coverage of LLIN was low and significant more likely to be owned by the rich households, whereas houses were sprayed equitably. The current mass free distribution of LLINs should be followed by periodic refill based on continuous monitoring data.", "author" : [ { "dropping-particle" : "", "family" : "Hailu", "given" : "Alemayehu", "non-dropping-particle" : "", "parse-names" : false, "suffix" : "" }, { "dropping-particle" : "", "family" : "Lindtj\u00f8rn", "given" : "Bernt", "non-dropping-particle" : "", "parse-names" : false, "suffix" : "" }, { "dropping-particle" : "", "family" : "Deressa", "given" : "Wakgari", "non-dropping-particle" : "", "parse-names" : false, "suffix" : "" }, { "dropping-particle" : "", "family" : "Gari", "given" : "Taye", "non-dropping-particle" : "", "parse-names" : false, "suffix" : "" }, { "dropping-particle" : "", "family" : "Loha", "given" : "Eskindir", "non-dropping-particle" : "", "parse-names" : false, "suffix" : "" }, { "dropping-particle" : "", "family" : "Robberstad", "given" : "Bjarne", "non-dropping-particle" : "", "parse-names" : false, "suffix" : "" } ], "container-title" : "Malaria Journal", "id" : "ITEM-2", "issue" : "1", "issued" : { "date-parts" : [ [ "2016" ] ] }, "page" : "366", "publisher" : "BioMed Central", "title" : "Equity in long-lasting insecticidal nets and indoor residual spraying for malaria prevention in a rural South Central Ethiopia", "type" : "article-journal", "volume" : "15" }, "uris" : [ "http://www.mendeley.com/documents/?uuid=534e93e9-9766-4eae-bffc-44ec737ac28f" ] }, { "id" : "ITEM-3", "itemData" : { "DOI" : "10.1186/1475-2875-8-109", "ISBN" : "1475-2875", "ISSN" : "1475-2875", "PMID" : "19460153", "abstract" : "BACKGROUND Studies show that the burden of malaria remains huge particularly in low-income settings. Although effective malaria control measures such as insecticide-treated nets (ITNs) have been promoted, relatively little is known about their equity dimension. Understanding variations in their use in low-income settings is important for scaling up malaria control programmes particularly ITNs. The objective of this paper is to measure the extent and causes of inequalities in the ownership and utilisation of bed nets across socioeconomic groups (SEGs) and age groups in Tanga District, north-eastern Tanzania. METHODS A questionnaire was administered to heads of 1,603 households from rural and urban areas. Households were categorized into SEGs using both an asset-based wealth index and education level of the household head. Concentration indices and regression-based measures of inequality were computed to analyse both vertical and horizontal inequalities in ownership and utilisation of bed nets. Focus Group Discussions (FGDs) were used to explore community perspectives on the causes of inequalities. RESULTS Use of ITNs remained appallingly low compared to the RBM target of 80% coverage. Inequalities in ownership of ITNs and all nets combined were significantly pro-rich and were much more pronounced in rural areas. FGDs revealed that lack of money was the key factor for not using ITNs followed by negative perceptions about the effect of insecticides on the health of users. Household SES, living within the urban areas and being under-five were positively associated with bed net ownership and/or utilisation. CONCLUSION The results highlight the need for mass distribution of ITN; a community-wide programme to treat all untreated nets and to promote the use of Long-Lasting Insecticidal nets (LLINs) or longer-lasting treatment of nets. The rural population and under-fives should be targeted through highly subsidized schemes and mass distribution of free nets. Public campaigns are also needed to encourage people to use treated nets and mitigate negative perceptions about insecticides.", "author" : [ { "dropping-particle" : "", "family" : "Matovu", "given" : "Fred", "non-dropping-particle" : "", "parse-names" : false, "suffix" : "" }, { "dropping-particle" : "", "family" : "Goodman", "given" : "Catherine", "non-dropping-particle" : "", "parse-names" : false, "suffix" : "" }, { "dropping-particle" : "", "family" : "Wiseman", "given" : "Virginia", "non-dropping-particle" : "", "parse-names" : false, "suffix" : "" }, { "dropping-particle" : "", "family" : "Mwengee", "given" : "William", "non-dropping-particle" : "", "parse-names" : false, "suffix" : "" } ], "container-title" : "Malaria Journal", "id" : "ITEM-3", "issue" : "1", "issued" : { "date-parts" : [ [ "2009" ] ] }, "page" : "109", "title" : "How equitable is bed net ownership and utilisation in Tanzania? A practical application of the principles of horizontal and vertical equity", "type" : "article-journal", "volume" : "8" }, "uris" : [ "http://www.mendeley.com/documents/?uuid=09fd9a7f-eeb4-466c-a8cd-1a18ab65aaf7" ] }, { "id" : "ITEM-4", "itemData" : { "DOI" : "10.1016/S0140-6736(03)12515-9", "ISSN" : "0140-6736", "PMID" : "12598141", "abstract" : "BACKGROUND: Few studies have been done to assess socioeconomic inequities in health in African countries. We sought evidence of inequities in health care by sex and socioeconomic status for young children living in a poor rural area of southern Tanzania.\n\nMETHODS: In a baseline household survey in Tanzania early in the implementation phase of integrated management of childhood illness (IMCI), we included cluster samples of 2006 children younger than 5 years in four rural districts. Questions focused on the extent to which carers' knowledge of illness, care-seeking outside the home, and care in health facilities were consistent with IMCI guidelines and messages. We used principal components analysis to develop a relative index of household socioeconomic status, with weighted scores of information on income sources, education of the household head, and household assets.\n\nFINDINGS: 1026 (52%) of 1968 children reported having been ill in the 2 weeks before the survey. Carers of 415 (41%) of 1014 of these children had sought care first from an appropriate provider. 71 (26%) carers from families in the wealthiest quintile knew &gt; or =2 danger signs compared with 48 (20%) of those from the poorest (p=0.03 for linear trend across quintiles) and wealthier families were more likely to bring their sick children to a health facility (p=0.02). Their children were more likely than poorer children to have received antimalarials, and antibiotics for pneumonia (p=0.0001 and 0.0048, respectively).\n\nINTERPRETATION: Care-seeking behaviour is worse in poorer than in relatively rich families, even within a rural society that might easily be assumed to be uniformly poor.", "author" : [ { "dropping-particle" : "", "family" : "Schellenberg", "given" : "Joanna Armstrong", "non-dropping-particle" : "", "parse-names" : false, "suffix" : "" }, { "dropping-particle" : "", "family" : "Victora", "given" : "Cesar G", "non-dropping-particle" : "", "parse-names" : false, "suffix" : "" }, { "dropping-particle" : "", "family" : "Mushi", "given" : "Adiel", "non-dropping-particle" : "", "parse-names" : false, "suffix" : "" }, { "dropping-particle" : "", "family" : "Savigny", "given" : "Don", "non-dropping-particle" : "de", "parse-names" : false, "suffix" : "" }, { "dropping-particle" : "", "family" : "Schellenberg", "given" : "David", "non-dropping-particle" : "", "parse-names" : false, "suffix" : "" }, { "dropping-particle" : "", "family" : "Mshinda", "given" : "Hassan", "non-dropping-particle" : "", "parse-names" : false, "suffix" : "" }, { "dropping-particle" : "", "family" : "Bryce", "given" : "Jennifer", "non-dropping-particle" : "", "parse-names" : false, "suffix" : "" } ], "container-title" : "Lancet", "id" : "ITEM-4", "issue" : "9357", "issued" : { "date-parts" : [ [ "2003", "2", "15" ] ] }, "page" : "561-6", "title" : "Inequities among the very poor: health care for children in rural southern Tanzania.", "type" : "article-journal", "volume" : "361" }, "uris" : [ "http://www.mendeley.com/documents/?uuid=1c07d6f1-3918-4aed-98d2-a134c9a0c36b" ] }, { "id" : "ITEM-5", "itemData" : { "DOI" : "10.1111/j.1365-3156.2005.01476.x", "ISBN" : "1360-2276", "ISSN" : "13602276", "PMID" : "16185240", "abstract" : "OBJECTIVE: To review the evidence on the link between malaria and poverty. METHODS: Review of the published and grey literature to identify (i) the data available on the socio-economic distribution of malaria incidence and vulnerability, and (ii) the uptake of malaria control interventions. RESULTS: We found mixed evidence on malaria incidence, with a number of studies identifying no relationship between socio-economic status and incidence, although a larger number of studies do find a link. There is strong evidence that uptake of preventive and treatment interventions is closely related to proxies for socio-economic status. More generally, the quality of the literature examining this issue is highly variable, with many different measures of socio-economic status and often inadequate descriptions of methods of data collection and analysis in relation to socio-economic status. CONCLUSIONS: Important socio-economic differentials exist in access to malaria interventions, increasing the vulnerability of the poorest. More information is needed about how other methods of delivering malaria treatment and prevention can redress these inequalities.", "author" : [ { "dropping-particle" : "", "family" : "Worrall", "given" : "Eve", "non-dropping-particle" : "", "parse-names" : false, "suffix" : "" }, { "dropping-particle" : "", "family" : "Basu", "given" : "Suprotik", "non-dropping-particle" : "", "parse-names" : false, "suffix" : "" }, { "dropping-particle" : "", "family" : "Hanson", "given" : "Kara", "non-dropping-particle" : "", "parse-names" : false, "suffix" : "" } ], "container-title" : "Tropical Medicine and International Health", "id" : "ITEM-5", "issue" : "10", "issued" : { "date-parts" : [ [ "2005" ] ] }, "page" : "1047-1059", "title" : "Is malaria a disease of poverty? A review of the literature", "type" : "article-journal", "volume" : "10" }, "uris" : [ "http://www.mendeley.com/documents/?uuid=9f7d6faa-5814-4459-8596-1cc27e2ae412" ] } ], "mendeley" : { "formattedCitation" : "(Onwujekwe et al., 2007; Hailu et al., 2016; Matovu et al., 2009; Schellenberg et al., 2003; Worrall, Basu, et al., 2005)", "plainTextFormattedCitation" : "(Onwujekwe et al., 2007; Hailu et al., 2016; Matovu et al., 2009; Schellenberg et al., 2003; Worrall, Basu, et al., 2005)", "previouslyFormattedCitation" : "(Onwujekwe et al., 2007; Hailu et al., 2016; Matovu et al., 2009; Schellenberg et al., 2003; Worrall, Basu, et al., 2005)" }, "properties" : {  }, "schema" : "https://github.com/citation-style-language/schema/raw/master/csl-citation.json" }</w:instrText>
      </w:r>
      <w:r>
        <w:fldChar w:fldCharType="separate"/>
      </w:r>
      <w:bookmarkStart w:id="226" w:name="__Fieldmark__1487_513475976"/>
      <w:r>
        <w:rPr>
          <w:rFonts w:ascii="Calibri" w:hAnsi="Calibri" w:asciiTheme="majorHAnsi" w:hAnsiTheme="majorHAnsi"/>
          <w:lang w:val="en-GB"/>
        </w:rPr>
        <w:t>(</w:t>
      </w:r>
      <w:bookmarkStart w:id="227" w:name="__Fieldmark__4451_903549581"/>
      <w:r>
        <w:rPr>
          <w:rFonts w:ascii="Calibri" w:hAnsi="Calibri" w:asciiTheme="majorHAnsi" w:hAnsiTheme="majorHAnsi"/>
          <w:lang w:val="en-GB"/>
        </w:rPr>
        <w:t>Onwujekwe et al., 2007; Hailu et al., 2016; Matovu et al., 2009; Schellenberg et al., 2003; Worrall, Basu, et al., 2005)</w:t>
      </w:r>
      <w:r>
        <w:rPr>
          <w:rFonts w:ascii="Calibri" w:hAnsi="Calibri" w:asciiTheme="majorHAnsi" w:hAnsiTheme="majorHAnsi"/>
          <w:lang w:val="en-GB"/>
        </w:rPr>
      </w:r>
      <w:r>
        <w:fldChar w:fldCharType="end"/>
      </w:r>
      <w:bookmarkEnd w:id="226"/>
      <w:bookmarkEnd w:id="227"/>
      <w:r>
        <w:rPr>
          <w:rFonts w:ascii="Calibri" w:hAnsi="Calibri" w:asciiTheme="majorHAnsi" w:hAnsiTheme="majorHAnsi"/>
          <w:lang w:val="en-GB"/>
        </w:rPr>
        <w:t xml:space="preserve">, as well as analysing the contribution of economics to malaria elimination and eradication </w:t>
      </w:r>
      <w:r>
        <w:fldChar w:fldCharType="begin"/>
      </w:r>
      <w:r>
        <w:instrText>ADDIN CSL_CITATION { "citationItems" : [ { "id" : "ITEM-1", "itemData" : { "DOI" : "10.1016/j.inhe.2010.09.005", "ISBN" : "1876-3413", "ISSN" : "18763413", "PMID" : "21270957", "abstract" : "Unprecedented efforts are now underway to eliminate malaria from many regions. Despite the enormous financial resources committed, if malaria elimination is perceived as failing it is likely that this funding will not be sustained. It is imperative that methods are developed to use the limited data available to design site-specific, cost-effective elimination programmes. Mathematical modelling is a way of including mechanistic understanding to use available data to make predictions. Different strategies can be evaluated much more rapidly than is possible through trial and error in the field. Mathematical modelling has great potential as a tool to guide and inform current elimination efforts. Economic modelling weighs costs against characterised effects or predicted benefits in order to determine the most cost-efficient strategy but has traditionally used static models of disease not suitable for elimination. Dynamic mathematical modelling and economic modelling techniques need to be combined to contribute most effectively to ongoing policy discussions. We review the role of modelling in previous malaria control efforts as well as the unique nature of elimination and the consequent need for its explicit modelling, and emphasise the importance of good disease surveillance. The difficulties and complexities of economic evaluation of malaria control, particularly the end stages of elimination, are discussed. \u00a9 2010 Royal Society of Tropical Medicine and Hygiene.", "author" : [ { "dropping-particle" : "", "family" : "Maude", "given" : "Richard J.", "non-dropping-particle" : "", "parse-names" : false, "suffix" : "" }, { "dropping-particle" : "", "family" : "Lubell", "given" : "Yoel", "non-dropping-particle" : "", "parse-names" : false, "suffix" : "" }, { "dropping-particle" : "", "family" : "Socheat", "given" : "Duong", "non-dropping-particle" : "", "parse-names" : false, "suffix" : "" }, { "dropping-particle" : "", "family" : "Yeung", "given" : "Shunmay", "non-dropping-particle" : "", "parse-names" : false, "suffix" : "" }, { "dropping-particle" : "", "family" : "Saralamba", "given" : "Sompob", "non-dropping-particle" : "", "parse-names" : false, "suffix" : "" }, { "dropping-particle" : "", "family" : "Pongtavornpinyo", "given" : "Wirichada", "non-dropping-particle" : "", "parse-names" : false, "suffix" : "" }, { "dropping-particle" : "", "family" : "Cooper", "given" : "Ben S.", "non-dropping-particle" : "", "parse-names" : false, "suffix" : "" }, { "dropping-particle" : "", "family" : "Dondorp", "given" : "Arjen M.", "non-dropping-particle" : "", "parse-names" : false, "suffix" : "" }, { "dropping-particle" : "", "family" : "White", "given" : "Nicholas J.", "non-dropping-particle" : "", "parse-names" : false, "suffix" : "" }, { "dropping-particle" : "", "family" : "White", "given" : "Lisa J.", "non-dropping-particle" : "", "parse-names" : false, "suffix" : "" } ], "container-title" : "International Health", "id" : "ITEM-1", "issue" : "4", "issued" : { "date-parts" : [ [ "2010" ] ] }, "page" : "239-246", "publisher" : "Royal Society of Tropical Medicine and Hygiene", "title" : "The role of mathematical modelling in guiding the science and economics of malaria elimination", "type" : "article-journal", "volume" : "2" }, "uris" : [ "http://www.mendeley.com/documents/?uuid=a398436a-10fe-4469-808a-73a0911d4880" ] }, { "id" : "ITEM-2", "itemData" : { "DOI" : "10.1186/s12936-016-1635-5", "ISBN" : "1293601616", "ISSN" : "1475-2875", "PMID" : "27955665", "abstract" : "Background: Declining donor funding and competing health priorities threaten the sustainability of malaria pro-grammes. Elucidating the cost and benefits of continued investments in malaria could encourage sustained politi-cal and financial commitments. The evidence, although available, remains disparate. This paper reviews the existing literature on the economic and financial cost and return of malaria control, elimination and eradication. Methods: A review of articles that were published on or before September 2014 on the cost and benefits of malaria control and elimination was performed. Studies were classified based on their scope and were analysed according to two major categories: cost of malaria control and elimination to a health system, and cost-benefit studies. Only studies involving more than two control or elimination interventions were included. Outcomes of interest were total programmatic cost, cost per capita, and benefit-cost ratios (BCRs). All costs were converted to 2013 US$ for standardization. Results: Of the 6425 articles identified, 54 studies were included in this review. Twenty-two were focused on elimina-tion or eradication while 32 focused on intensive control. Forty-eight per cent of studies included in this review were published on or after 2000. Overall, the annual per capita cost of malaria control to a health system ranged from $0.11 to $39.06 (median: $2.21) while that for malaria elimination ranged from $0.18 to $27 (median: $3.00). BCRs of invest-ing in malaria control and elimination ranged from 2.4 to over 145. Conclusion: Overall, investments needed for malaria control and elimination varied greatly amongst the various countries and contexts. In most cases, the cost of elimination was greater than the cost of control. At the same time, the benefits of investing in malaria greatly outweighed the costs. While the cost of elimination in most cases was greater than the cost of control, the benefits greatly outweighed the cost. Information from this review provides guidance to national malaria programmes on the cost and benefits of malaria elimination in the absence of data. Importantly, the review highlights the need for more robust economic analyses using standard inputs and methods to strengthen the evidence needed for sustained financing for malaria elimination.", "author" : [ { "dropping-particle" : "", "family" : "Shretta", "given" : "Rima", "non-dropping-particle" : "", "parse-names" : false, "suffix" : "" }, { "dropping-particle" : "V.", "family" : "Avance\u00f1a", "given" : "Anton L.", "non-dropping-particle" : "", "parse-names" : false, "suffix" : "" }, { "dropping-particle" : "", "family" : "Hatefi", "given" : "Arian", "non-dropping-particle" : "", "parse-names" : false, "suffix" : "" } ], "container-title" : "Malaria Journal", "id" : "ITEM-2", "issue" : "1", "issued" : { "date-parts" : [ [ "2016" ] ] }, "page" : "593", "publisher" : "BioMed Central", "title" : "The economics of malaria control and elimination: a systematic review", "type" : "article-journal", "volume" : "15" }, "uris" : [ "http://www.mendeley.com/documents/?uuid=b19eb590-578b-4e1d-b46e-75fb71e17b85" ] }, { "id" : "ITEM-3", "itemData" : { "DOI" : "10.1371/journal.pone.0130603", "ISSN" : "19326203", "PMID" : "26070135", "abstract" : "BACKGROUND: Infectious diseases elimination and eradication have become important areas of focus for global health and countries. Due to the substantial up-front investments required to eliminate and eradicate, and the overall shortage of resources for health, economic analysis can inform decision making on whether elimination/eradication makes economic sense and on the costs and benefits of alternative strategies. In order to draw lessons for current and future initiatives, we review the economic literature that has addressed questions related to the elimination and eradication of infectious diseases focusing on: why, how and for whom?\\n\\nMETHODS: A systematic review was performed by searching economic literature (cost-benefit, cost-effectiveness and economic impact analyses) on elimination/eradication of infectious diseases published from 1980 to 2013 from three large bibliographic databases: one general (SCOPUS), one bio-medical (MEDLINE/PUBMED) and one economic (IDEAS/REPEC).\\n\\nRESULTS: A total of 690 non-duplicate papers were identified from which only 43 met the inclusion criteria. In addition, only one paper focusing on equity issues, the \"for whom?\" question, was found. The literature relating to \"why?\" is the largest, much of it focusing on how much it would cost. A more limited literature estimates the benefits in terms of impact on economic growth with mixed results. The question of how to eradicate or eliminate was informed by an economic literature highlighting that there will be opportunities for individuals and countries to free-ride and that forms of incentives and/or disincentives will be needed. This requires government involvement at country level and global coordination. While there is little doubt that eliminating infectious diseases will eventually improve equity, it will only happen if active steps to promote equity are followed on the path to elimination and eradication.\\n\\nCONCLUSION: The largest part of the literature has focused on costs and economic benefits of elimination/eradication. To a lesser extent, challenges associated with achieving elimination/eradication and ensuring equity have also been explored. Although elimination and eradication are, for some diseases, good investments compared with control, countries' incentives to eliminate do not always align with the global good and the most efficient elimination strategies may not prioritize the poorest populations. For any infectious disease, policy-makers will need to\u2026", "author" : [ { "dropping-particle" : "", "family" : "Sicuri", "given" : "Elisa", "non-dropping-particle" : "", "parse-names" : false, "suffix" : "" }, { "dropping-particle" : "", "family" : "Evans", "given" : "David B.", "non-dropping-particle" : "", "parse-names" : false, "suffix" : "" }, { "dropping-particle" : "", "family" : "Tediosi", "given" : "Fabrizio", "non-dropping-particle" : "", "parse-names" : false, "suffix" : "" } ], "container-title" : "PLoS ONE", "id" : "ITEM-3", "issue" : "6", "issued" : { "date-parts" : [ [ "2015" ] ] }, "page" : "1-21", "title" : "Can economic analysis contribute to disease elimination and eradication? A systematic review", "type" : "article-journal", "volume" : "10" }, "uris" : [ "http://www.mendeley.com/documents/?uuid=df10ca03-312d-485f-80d9-d036b9e1ebb7" ] } ], "mendeley" : { "formattedCitation" : "(Maude et al., 2010; Shretta et al., 2016; Sicuri et al., 2015)", "plainTextFormattedCitation" : "(Maude et al., 2010; Shretta et al., 2016; Sicuri et al., 2015)", "previouslyFormattedCitation" : "(Maude et al., 2010; Shretta et al., 2016; Sicuri et al., 2015)" }, "properties" : {  }, "schema" : "https://github.com/citation-style-language/schema/raw/master/csl-citation.json" }</w:instrText>
      </w:r>
      <w:r>
        <w:fldChar w:fldCharType="separate"/>
      </w:r>
      <w:bookmarkStart w:id="228" w:name="__Fieldmark__1494_513475976"/>
      <w:r>
        <w:rPr>
          <w:rFonts w:ascii="Calibri" w:hAnsi="Calibri" w:asciiTheme="majorHAnsi" w:hAnsiTheme="majorHAnsi"/>
          <w:lang w:val="en-GB"/>
        </w:rPr>
        <w:t>(</w:t>
      </w:r>
      <w:bookmarkStart w:id="229" w:name="__Fieldmark__4462_903549581"/>
      <w:r>
        <w:rPr>
          <w:rFonts w:ascii="Calibri" w:hAnsi="Calibri" w:asciiTheme="majorHAnsi" w:hAnsiTheme="majorHAnsi"/>
          <w:lang w:val="en-GB"/>
        </w:rPr>
        <w:t>Maude et al., 2010; Shretta et al., 2016; Sicuri et al., 2015)</w:t>
      </w:r>
      <w:r>
        <w:rPr>
          <w:rFonts w:ascii="Calibri" w:hAnsi="Calibri" w:asciiTheme="majorHAnsi" w:hAnsiTheme="majorHAnsi"/>
          <w:lang w:val="en-GB"/>
        </w:rPr>
      </w:r>
      <w:r>
        <w:fldChar w:fldCharType="end"/>
      </w:r>
      <w:bookmarkEnd w:id="228"/>
      <w:bookmarkEnd w:id="22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Several economic studies have evaluated the behavioural components of malaria, such as preventive behaviours </w:t>
      </w:r>
      <w:r>
        <w:fldChar w:fldCharType="begin"/>
      </w:r>
      <w:r>
        <w:instrText>ADDIN CSL_CITATION { "citationItems" : [ { "id" : "ITEM-1", "itemData" : { "author" : [ { "dropping-particle" : "", "family" : "Berth\u00e9lemy", "given" : "Jean-claude", "non-dropping-particle" : "", "parse-names" : false, "suffix" : "" }, { "dropping-particle" : "", "family" : "Gaudart", "given" : "Jean", "non-dropping-particle" : "", "parse-names" : false, "suffix" : "" }, { "dropping-particle" : "", "family" : "Thuilliez", "given" : "Josselin", "non-dropping-particle" : "", "parse-names" : false, "suffix" : "" } ], "container-title" : "Economic Letters", "id" : "ITEM-1", "issued" : { "date-parts" : [ [ "2015" ] ] }, "page" : "16-19", "title" : "Prevention or treatment? The case of malaria", "type" : "article-journal", "volume" : "131" }, "uris" : [ "http://www.mendeley.com/documents/?uuid=f7c17bae-8f69-4538-9334-41cb9d0e616b" ] }, { "id" : "ITEM-2", "itemData" : { "author" : [ { "dropping-particle" : "", "family" : "Dupas", "given" : "Pascaline", "non-dropping-particle" : "", "parse-names" : false, "suffix" : "" } ], "container-title" : "Annual Review of Economics", "id" : "ITEM-2", "issued" : { "date-parts" : [ [ "2011" ] ] }, "page" : "1-39", "title" : "Health Behavior in Developing Countries", "type" : "article-journal", "volume" : "3" }, "uris" : [ "http://www.mendeley.com/documents/?uuid=23414f9d-07d4-4476-afca-354989f2623d" ] } ], "mendeley" : { "formattedCitation" : "(Berth\u00e9lemy et al., 2015; Dupas, 2011)", "plainTextFormattedCitation" : "(Berth\u00e9lemy et al., 2015; Dupas, 2011)", "previouslyFormattedCitation" : "(Berth\u00e9lemy et al., 2015; Dupas, 2011)" }, "properties" : {  }, "schema" : "https://github.com/citation-style-language/schema/raw/master/csl-citation.json" }</w:instrText>
      </w:r>
      <w:r>
        <w:fldChar w:fldCharType="separate"/>
      </w:r>
      <w:bookmarkStart w:id="230" w:name="__Fieldmark__1503_513475976"/>
      <w:r>
        <w:rPr>
          <w:rFonts w:ascii="Calibri" w:hAnsi="Calibri" w:asciiTheme="majorHAnsi" w:hAnsiTheme="majorHAnsi"/>
          <w:lang w:val="en-GB"/>
        </w:rPr>
        <w:t>(</w:t>
      </w:r>
      <w:bookmarkStart w:id="231" w:name="__Fieldmark__4472_903549581"/>
      <w:r>
        <w:rPr>
          <w:rFonts w:ascii="Calibri" w:hAnsi="Calibri" w:asciiTheme="majorHAnsi" w:hAnsiTheme="majorHAnsi"/>
          <w:lang w:val="en-GB"/>
        </w:rPr>
        <w:t>Berthélemy et al., 2015; Dupas, 2011)</w:t>
      </w:r>
      <w:r>
        <w:rPr>
          <w:rFonts w:ascii="Calibri" w:hAnsi="Calibri" w:asciiTheme="majorHAnsi" w:hAnsiTheme="majorHAnsi"/>
          <w:lang w:val="en-GB"/>
        </w:rPr>
      </w:r>
      <w:r>
        <w:fldChar w:fldCharType="end"/>
      </w:r>
      <w:bookmarkEnd w:id="230"/>
      <w:bookmarkEnd w:id="231"/>
      <w:r>
        <w:rPr>
          <w:rFonts w:ascii="Calibri" w:hAnsi="Calibri" w:asciiTheme="majorHAnsi" w:hAnsiTheme="majorHAnsi"/>
          <w:lang w:val="en-GB"/>
        </w:rPr>
        <w:t>, treatment-seeking</w:t>
      </w:r>
      <w:del w:id="157" w:author="Unknown Author" w:date="2018-04-12T11:16:00Z">
        <w:r>
          <w:rPr>
            <w:rFonts w:ascii="Calibri" w:hAnsi="Calibri" w:asciiTheme="majorHAnsi" w:hAnsiTheme="majorHAnsi"/>
            <w:lang w:val="en-GB"/>
          </w:rPr>
          <w:delText xml:space="preserve"> </w:delText>
        </w:r>
      </w:del>
      <w:del w:id="158" w:author="Unknown Author" w:date="2018-04-12T11:15:00Z">
        <w:r>
          <w:rPr>
            <w:rFonts w:ascii="Calibri" w:hAnsi="Calibri" w:asciiTheme="majorHAnsi" w:hAnsiTheme="majorHAnsi"/>
            <w:lang w:val="en-GB"/>
          </w:rPr>
          <w:delText>behaviours</w:delText>
        </w:r>
      </w:del>
      <w:r>
        <w:rPr>
          <w:rFonts w:ascii="Calibri" w:hAnsi="Calibri" w:asciiTheme="majorHAnsi" w:hAnsiTheme="majorHAnsi"/>
          <w:lang w:val="en-GB"/>
        </w:rPr>
        <w:t xml:space="preserve">, recognition of the disease and its symptoms, sources of malaria care, decision-making process or factors influencing malaria care choices </w:t>
      </w:r>
      <w:r>
        <w:fldChar w:fldCharType="begin"/>
      </w:r>
      <w:r>
        <w:instrText>ADDIN CSL_CITATION { "citationItems" : [ { "id" : "ITEM-1", "itemData" : { "DOI" : "10.1016/j.socscimed.2003.11.010", "ISSN" : "02779536", "PMID" : "15144761", "abstract" : "In 1996, Social Science &amp; Medicine published a review of treatment seeking for malaria (McCombie, 1996). Since that time, a significant amount of socio-behavioral research on the home management of malaria has been undertaken. In addition, recent initiatives such as Roll Back Malaria have emphasized the importance of social science inputs to malaria research and control. However, there has been a growing feeling that the potential contributions that social science could and should be making to malaria research and control have yet to be fully realized. To address these issues, this paper critically reviews and synthesizes the literature (published, unpublished and technical reports) pertaining to the home management of illness episodes of malaria in sub-Saharan Africa from 1996 to the end of 2000, and draws conclusions about the use of social science in malaria research and control. The results suggest that while we have amassed increasing quantities of descriptive data on treatment seeking behavior, we still have little understanding of the rationale of drug use from the patient perspective and, perhaps more importantly, barely any information on the rationale of provider behaviors. However, the results underline the dynamic and iterative nature of treatment seeking with multiple sources of care frequently being employed during a single illness episode; and highlight the importance in decision making of gender, socio-economic and cultural position of individuals within households and communities. Furthermore, the impact of political, structural and environmental factors on treatment seeking behaviors is starting to be recognised. Programs to address these issues may be beyond single sector (malaria control programme) interventions, but social science practice in malaria control needs to reflect a realistic appraisal of the complexities that govern human behavior and include critical appraisal and proposals for practical action. Major concerns arising from the review were the lack of evidence of 'social scientist' involvement (particularly few from endemic countries) in much of the published research; and concerns with methodological rigor. To increase the effective use of social science, we should focus on a new orientation for field research (including increased methodological rigor), address the gaps in research knowledge, strengthen the relationship between research, policy and practice; and concentrate on capacity strengthening and advocacy.", "author" : [ { "dropping-particle" : "", "family" : "Williams", "given" : "Holly Ann", "non-dropping-particle" : "", "parse-names" : false, "suffix" : "" }, { "dropping-particle" : "", "family" : "Jones", "given" : "Caroline O.H", "non-dropping-particle" : "", "parse-names" : false, "suffix" : "" } ], "container-title" : "Social Science &amp; Medicine", "id" : "ITEM-1", "issue" : "3", "issued" : { "date-parts" : [ [ "2004" ] ] }, "page" : "501-523", "title" : "A critical review of behavioral issues related to malaria control in sub-Saharan Africa:", "type" : "article-journal", "volume" : "59" }, "uris" : [ "http://www.mendeley.com/documents/?uuid=e3ac1c53-ef3c-4351-9a19-012ba1be1f96" ] } ], "mendeley" : { "formattedCitation" : "(Williams and Jones, 2004)", "plainTextFormattedCitation" : "(Williams and Jones, 2004)", "previouslyFormattedCitation" : "(Williams and Jones, 2004)" }, "properties" : {  }, "schema" : "https://github.com/citation-style-language/schema/raw/master/csl-citation.json" }</w:instrText>
      </w:r>
      <w:r>
        <w:fldChar w:fldCharType="separate"/>
      </w:r>
      <w:bookmarkStart w:id="232" w:name="__Fieldmark__1510_513475976"/>
      <w:r>
        <w:rPr>
          <w:rFonts w:ascii="Calibri" w:hAnsi="Calibri" w:asciiTheme="majorHAnsi" w:hAnsiTheme="majorHAnsi"/>
          <w:lang w:val="en-GB"/>
        </w:rPr>
        <w:t>(</w:t>
      </w:r>
      <w:bookmarkStart w:id="233" w:name="__Fieldmark__4478_903549581"/>
      <w:r>
        <w:rPr>
          <w:rFonts w:ascii="Calibri" w:hAnsi="Calibri" w:asciiTheme="majorHAnsi" w:hAnsiTheme="majorHAnsi"/>
          <w:lang w:val="en-GB"/>
        </w:rPr>
        <w:t>Williams and Jones, 2004)</w:t>
      </w:r>
      <w:r>
        <w:rPr>
          <w:rFonts w:ascii="Calibri" w:hAnsi="Calibri" w:asciiTheme="majorHAnsi" w:hAnsiTheme="majorHAnsi"/>
          <w:lang w:val="en-GB"/>
        </w:rPr>
      </w:r>
      <w:r>
        <w:fldChar w:fldCharType="end"/>
      </w:r>
      <w:bookmarkEnd w:id="232"/>
      <w:bookmarkEnd w:id="233"/>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Finally, several economists have studie</w:t>
      </w:r>
      <w:ins w:id="159" w:author="Unknown Author" w:date="2018-04-12T11:16:00Z">
        <w:r>
          <w:rPr>
            <w:rFonts w:ascii="Calibri" w:hAnsi="Calibri" w:asciiTheme="majorHAnsi" w:hAnsiTheme="majorHAnsi"/>
            <w:lang w:val="en-GB"/>
          </w:rPr>
          <w:t>d</w:t>
        </w:r>
      </w:ins>
      <w:del w:id="160" w:author="Unknown Author" w:date="2018-04-12T11:16:00Z">
        <w:r>
          <w:rPr>
            <w:rFonts w:ascii="Calibri" w:hAnsi="Calibri" w:asciiTheme="majorHAnsi" w:hAnsiTheme="majorHAnsi"/>
            <w:lang w:val="en-GB"/>
          </w:rPr>
          <w:delText>s</w:delText>
        </w:r>
      </w:del>
      <w:r>
        <w:rPr>
          <w:rFonts w:ascii="Calibri" w:hAnsi="Calibri" w:asciiTheme="majorHAnsi" w:hAnsiTheme="majorHAnsi"/>
          <w:lang w:val="en-GB"/>
        </w:rPr>
        <w:t xml:space="preserve"> the relationship between malaria and economic growth </w:t>
      </w:r>
      <w:r>
        <w:fldChar w:fldCharType="begin"/>
      </w:r>
      <w:r>
        <w:instrText>ADDIN CSL_CITATION { "citationItems" : [ { "id" : "ITEM-1", "itemData" : { "author" : [ { "dropping-particle" : "", "family" : "Berth\u00e9lemy", "given" : "Jean-claude", "non-dropping-particle" : "", "parse-names" : false, "suffix" : "" }, { "dropping-particle" : "", "family" : "Thuilliez", "given" : "Josselin", "non-dropping-particle" : "", "parse-names" : false, "suffix" : "" }, { "dropping-particle" : "", "family" : "Doumbo", "given" : "Ogobara", "non-dropping-particle" : "", "parse-names" : false, "suffix" : "" }, { "dropping-particle" : "", "family" : "Gaudart", "given" : "Jean", "non-dropping-particle" : "", "parse-names" : false, "suffix" : "" } ], "container-title" : "Malaria journal", "id" : "ITEM-1", "issued" : { "date-parts" : [ [ "2013" ] ] }, "page" : "1-9", "title" : "Malaria and protective behaviours: is there a malaria trap?", "type" : "article-journal", "volume" : "12" }, "uris" : [ "http://www.mendeley.com/documents/?uuid=7cd4e4a8-288f-4ef8-9003-22fdf9695b8d" ] }, { "id" : "ITEM-2", "itemData" : { "DOI" : "10.1257/app.2.2.1", "ISSN" : "1945-7782", "PMID" : "24179596", "abstract" : "This study uses the malaria-eradication campaigns in the United States (circa 1920), and in Brazil, Colombia and Mexico (circa 1955) to measure how much childhood exposure to malaria depresses labor productivity. The campaigns began because of advances in health technology, which mitigates concerns about reverse causality. Malarious areas saw large drops in the disease thereafter. Relative to non-malarious areas, cohorts born after eradication had higher income as adults than the preceding generation. These cross-cohort changes coincided with childhood exposure to the campaigns rather than to pre-existing trends. Estimates suggest a substantial, though not predominant, role for malaria in explaining cross-region differences in income.", "author" : [ { "dropping-particle" : "", "family" : "Bleakley", "given" : "Hoyt", "non-dropping-particle" : "", "parse-names" : false, "suffix" : "" } ], "container-title" : "American economic journal. Applied economics", "id" : "ITEM-2", "issue" : "2", "issued" : { "date-parts" : [ [ "2010", "4" ] ] }, "page" : "1-45", "title" : "Malaria Eradication in the Americas: A Retrospective Analysis of Childhood Exposure.", "type" : "article-journal", "volume" : "2" }, "uris" : [ "http://www.mendeley.com/documents/?uuid=ab13e8cd-0cfd-4747-a8f4-bf4a3740122c" ] }, { "id" : "ITEM-3", "itemData" : { "ISSN" : "0002-9637", "PMID" : "11425181", "abstract" : "Malaria and poverty are intimately connected. Controlling for factors such as tropical location, colonial history, and geographical isolation, countries with intensive malaria had income levels in 1995 of only 33% that of countries without malaria, whether or not the countries were in Africa. The high levels of malaria in poor countries are not mainly a consequence of poverty. Malaria is geographically specific. The ecological conditions that support the more efficient malaria mosquito vectors primarily determine the distribution and intensity of the disease. Intensive efforts to eliminate malaria in the most severely affected tropical countries have been largely ineffective. Countries that have eliminated malaria in the past half century have all been either subtropical or islands. These countries' economic growth in the 5 years after eliminating malaria has usually been substantially higher than growth in the neighboring countries. Cross-country regressions for the 1965-1990 period confirm the relationship between malaria and economic growth. Taking into account initial poverty, economic policy, tropical location, and life expectancy, among other factors, countries with intensive malaria grew 1.3% less per person per year, and a 10% reduction in malaria was associated with 0.3% higher growth. Controlling for many other tropical diseases does not change the correlation of malaria with economic growth, and these diseases are not themselves significantly negatively correlated with economic growth. A second independent measure of malaria has a slightly higher correlation with economic growth in the 1980-1996 period. We speculate about the mechanisms that could cause malaria to have such a large impact on the economy, such as foreign investment and economic networks within the country.", "author" : [ { "dropping-particle" : "", "family" : "Gallup", "given" : "J L", "non-dropping-particle" : "", "parse-names" : false, "suffix" : "" }, { "dropping-particle" : "", "family" : "Sachs", "given" : "J D", "non-dropping-particle" : "", "parse-names" : false, "suffix" : "" } ], "container-title" : "The American journal of tropical medicine and hygiene", "id" : "ITEM-3", "issue" : "1-2 Suppl", "issued" : { "date-parts" : [ [ "2001" ] ] }, "page" : "85-96", "title" : "The economic burden of malaria.", "type" : "article-journal", "volume" : "64" }, "uris" : [ "http://www.mendeley.com/documents/?uuid=ec0fc69c-a2e9-4d89-adbc-2b85d5cfefbb" ] }, { "id" : "ITEM-4", "itemData" : { "DOI" : "10.1016/S0168-8510(02)00036-2", "ISBN" : "0168-8510", "ISSN" : "01688510", "PMID" : "12468115", "abstract" : "Information on the economic burden of malaria in Africa is needed to target interventions efficiently and equitably, and to justify investment in research and control. A standard method of estimation has been to sum the direct costs of expenditure on prevention and treatment, and the indirect costs of productive labour time lost. This paper discusses the many problems in using such data to reflect the burden to society or the potential benefits from control. Studies have generally focussed on febrile illness, overestimating the burden of uncomplicated malaria, but underestimating the costs of severe illness, other debilitating manifestations, and mortality. Many use weak data to calculate indirect costs, which fail to account for seasonal variations, the difference between the average and marginal product of labour, and the ways households and firms 'cope' in response to illness episodes. Perhaps most importantly, the costs of coping mechanisms in response to the risk of disease are excluded, although they may significantly affect productive strategies and economic growth. Future work should be rooted in a sound understanding of the health burden of malaria and the organisation of economic activities, and address the impact on the productive environment, and epidemiological and socio-economic geographical variation. \u00a9 2002 Elsevier Science Ireland Ltd. All rights reserved.", "author" : [ { "dropping-particle" : "", "family" : "Chima", "given" : "Reginald Ikechukwu", "non-dropping-particle" : "", "parse-names" : false, "suffix" : "" }, { "dropping-particle" : "", "family" : "Goodman", "given" : "Catherine A.", "non-dropping-particle" : "", "parse-names" : false, "suffix" : "" }, { "dropping-particle" : "", "family" : "Mills", "given" : "Anne", "non-dropping-particle" : "", "parse-names" : false, "suffix" : "" } ], "container-title" : "Health Policy", "id" : "ITEM-4", "issue" : "1", "issued" : { "date-parts" : [ [ "2003" ] ] }, "page" : "17-36", "title" : "The economic impact of malaria in Africa: A critical review of the evidence", "type" : "article-journal", "volume" : "63" }, "uris" : [ "http://www.mendeley.com/documents/?uuid=6235843f-ca4b-4597-a045-6c8df618d949" ] }, { "id" : "ITEM-5", "itemData" : { "DOI" : "10.1038/415680a", "ISSN" : "0028-0836", "PMID" : "11832956", "abstract" : "Where malaria prospers most, human societies have prospered least. The global distribution of per-capita gross domestic product shows a striking correlation between malaria and poverty, and malaria-endemic countries also have lower rates of economic growth. There are multiple channels by which malaria impedes development, including effects on fertility, population growth, saving and investment, worker productivity, absenteeism, premature mortality and medical costs.", "author" : [ { "dropping-particle" : "", "family" : "Sachs", "given" : "Jeffrey", "non-dropping-particle" : "", "parse-names" : false, "suffix" : "" }, { "dropping-particle" : "", "family" : "Malaney", "given" : "Pia", "non-dropping-particle" : "", "parse-names" : false, "suffix" : "" } ], "container-title" : "Nature", "id" : "ITEM-5", "issue" : "6872", "issued" : { "date-parts" : [ [ "2002", "2", "7" ] ] }, "page" : "680-5", "title" : "The economic and social burden of malaria.", "type" : "article-journal", "volume" : "415" }, "uris" : [ "http://www.mendeley.com/documents/?uuid=539f1897-6e2f-45c4-95cb-984ec05fd144" ] } ], "mendeley" : { "formattedCitation" : "(Berth\u00e9lemy et al., 2013; Bleakley, 2010; Gallup and Sachs, 2001; Chima et al., 2003; Sachs and Malaney, 2002)", "plainTextFormattedCitation" : "(Berth\u00e9lemy et al., 2013; Bleakley, 2010; Gallup and Sachs, 2001; Chima et al., 2003; Sachs and Malaney, 2002)", "previouslyFormattedCitation" : "(Berth\u00e9lemy et al., 2013; Bleakley, 2010; Gallup and Sachs, 2001; Chima et al., 2003; Sachs and Malaney, 2002)" }, "properties" : {  }, "schema" : "https://github.com/citation-style-language/schema/raw/master/csl-citation.json" }</w:instrText>
      </w:r>
      <w:r>
        <w:fldChar w:fldCharType="separate"/>
      </w:r>
      <w:bookmarkStart w:id="234" w:name="__Fieldmark__1519_513475976"/>
      <w:r>
        <w:rPr>
          <w:rFonts w:ascii="Calibri" w:hAnsi="Calibri" w:asciiTheme="majorHAnsi" w:hAnsiTheme="majorHAnsi"/>
          <w:lang w:val="en-GB"/>
        </w:rPr>
        <w:t>(</w:t>
      </w:r>
      <w:bookmarkStart w:id="235" w:name="__Fieldmark__4490_903549581"/>
      <w:r>
        <w:rPr>
          <w:rFonts w:ascii="Calibri" w:hAnsi="Calibri" w:asciiTheme="majorHAnsi" w:hAnsiTheme="majorHAnsi"/>
          <w:lang w:val="en-GB"/>
        </w:rPr>
        <w:t>Berthélemy et al., 2013; Bleakley, 2010; Gallup and Sachs, 2001; Chima et al., 2003; Sachs and Malaney, 2002)</w:t>
      </w:r>
      <w:r>
        <w:rPr>
          <w:rFonts w:ascii="Calibri" w:hAnsi="Calibri" w:asciiTheme="majorHAnsi" w:hAnsiTheme="majorHAnsi"/>
          <w:lang w:val="en-GB"/>
        </w:rPr>
      </w:r>
      <w:r>
        <w:fldChar w:fldCharType="end"/>
      </w:r>
      <w:bookmarkEnd w:id="234"/>
      <w:bookmarkEnd w:id="235"/>
      <w:r>
        <w:rPr>
          <w:rFonts w:ascii="Calibri" w:hAnsi="Calibri" w:asciiTheme="majorHAnsi" w:hAnsiTheme="majorHAnsi"/>
          <w:lang w:val="en-GB"/>
        </w:rPr>
        <w:t xml:space="preserve">, agricultural output </w:t>
      </w:r>
      <w:r>
        <w:fldChar w:fldCharType="begin"/>
      </w:r>
      <w:r>
        <w:instrText>ADDIN CSL_CITATION { "citationItems" : [ { "id" : "ITEM-1", "itemData" : { "DOI" : "10.1111/j.1574-0862.2010.00515.x", "ISBN" : "0169-5150", "ISSN" : "01695150", "abstract" : "This paper surveys the linkages between malaria and agriculture, focusing on the economic impacts of the disease. We adopt Negin's (2005) conceptual framework to examine the potential impacts of malaria in the agricultural sector, including both direct and indirect impacts. In addition to health care costs, malaria causes loss of agricultural labor and slows adoption of improved practices in agriculture. Furthermore, some agricultural practices and development interventions are known to facilitate the spread of malaria, exacerbating its impacts. Given the importance of both agriculture and malaria in developing countries, especially in Africa, the interaction between them could be a significant factor in economic growth. The review identifies gaps in past research on this topic. A better understanding of malaria's impact on agricultural productivity, coupled with efforts to strengthen capacity to deal with malaria, would enhance policies and programs aimed at combating malaria and curbing its impacts on agricultural productivity.", "author" : [ { "dropping-particle" : "", "family" : "Asenso-Okyere", "given" : "Kwadwo", "non-dropping-particle" : "", "parse-names" : false, "suffix" : "" }, { "dropping-particle" : "", "family" : "Asante", "given" : "Felix A.", "non-dropping-particle" : "", "parse-names" : false, "suffix" : "" }, { "dropping-particle" : "", "family" : "Tarekegn", "given" : "Jifar", "non-dropping-particle" : "", "parse-names" : false, "suffix" : "" }, { "dropping-particle" : "", "family" : "Andam", "given" : "Kwaw S.", "non-dropping-particle" : "", "parse-names" : false, "suffix" : "" } ], "container-title" : "Agricultural Economics", "id" : "ITEM-1", "issue" : "3", "issued" : { "date-parts" : [ [ "2011" ] ] }, "page" : "293-304", "title" : "A review of the economic impact of malaria in agricultural development", "type" : "article-journal", "volume" : "42" }, "uris" : [ "http://www.mendeley.com/documents/?uuid=fefb3af9-55e9-46fb-bcea-551dec932761" ] }, { "id" : "ITEM-2", "itemData" : { "DOI" : "10.2139/ssrn.2197504", "ISSN" : "1556-5068", "abstract" : "Malaria is one of the top five causes of death worldwide, and roughly half the world\u2019s population lives at risk of the disease. This health problem disproportionately affects the poor, particularly those in Africa south of the Sahara, where the disease is widespread. Many of those most afflicted are part of farming households; therefore agriculture, poverty, and health are intimately linked through malaria. Uganda has the highest malaria parasite transmission in the world and is an important case study due to the role agricultural development has played in increasing malaria transmission within the country, according to the literature reviewed here.This review brings together current research from agricultural economics, environmental science, and epidemiology to provide a foundation for research directly addressing how malaria relates these fields to one another in malaria-endemic settings such as the East African highlands. While each field has addressed malaria within existing academic frameworks, this literature review should support further interdisciplinary research by providing a detailed and well-documented account of integrative work on malaria to date.More than 280 published articles and reports were included in the final review, and many more were included in the selection process. Due to the massive volume of literature published on malaria, the selection has been limited to those articles found to fill particular gaps in interdisciplinary understanding.Ambiguities on the causal relationships between malaria and poverty, climate change, irrigation, and land use changes are discussed in the light of high local variation in impact on malaria transmission. Integrated pest management is explored due to its utilization of farmers\u2019 vocational skills and success in reversing the pesticide resistance now threatening malaria interventions worldwide. In particular, integrated pest and vector management (IPVM) interventions are assessed as a potential option to reduce the malaria burden in agricultural communities. Farmer field schools and IPVM may provide a cost-effective and integrated solution for improving both health and poverty outcomes. Such programs can foster collaboration between the health and agricultural sectors, and draw on the expertise of each in contributing to rural development in malaria-endemic areas.", "author" : [ { "dropping-particle" : "", "family" : "Wielgosz", "given" : "Benjamin", "non-dropping-particle" : "", "parse-names" : false, "suffix" : "" }, { "dropping-particle" : "", "family" : "Mangheni", "given" : "Margaret", "non-dropping-particle" : "", "parse-names" : false, "suffix" : "" }, { "dropping-particle" : "", "family" : "Tsegai", "given" : "Daniel W.", "non-dropping-particle" : "", "parse-names" : false, "suffix" : "" }, { "dropping-particle" : "", "family" : "Ringler", "given" : "Claudia", "non-dropping-particle" : "", "parse-names" : false, "suffix" : "" } ], "container-title" : "IFPRI Discussion Paper 01232", "id" : "ITEM-2", "issue" : "December", "issued" : { "date-parts" : [ [ "2012" ] ] }, "page" : "64", "title" : "Malaria and Agriculture: A Global Review of the Literature with a Focus on the Application of Integrated Pest and Vector Management in East Africa and Uganda", "type" : "article-journal" }, "uris" : [ "http://www.mendeley.com/documents/?uuid=d496a644-2640-4d3e-8657-337ff8efb97f" ] } ], "mendeley" : { "formattedCitation" : "(Asenso-Okyere et al., 2011; Wielgosz et al., 2012)", "plainTextFormattedCitation" : "(Asenso-Okyere et al., 2011; Wielgosz et al., 2012)", "previouslyFormattedCitation" : "(Asenso-Okyere et al., 2011; Wielgosz et al., 2012)" }, "properties" : {  }, "schema" : "https://github.com/citation-style-language/schema/raw/master/csl-citation.json" }</w:instrText>
      </w:r>
      <w:r>
        <w:fldChar w:fldCharType="separate"/>
      </w:r>
      <w:bookmarkStart w:id="236" w:name="__Fieldmark__1526_513475976"/>
      <w:r>
        <w:rPr>
          <w:rFonts w:ascii="Calibri" w:hAnsi="Calibri" w:asciiTheme="majorHAnsi" w:hAnsiTheme="majorHAnsi"/>
          <w:lang w:val="en-GB"/>
        </w:rPr>
        <w:t>(</w:t>
      </w:r>
      <w:bookmarkStart w:id="237" w:name="__Fieldmark__4501_903549581"/>
      <w:r>
        <w:rPr>
          <w:rFonts w:ascii="Calibri" w:hAnsi="Calibri" w:asciiTheme="majorHAnsi" w:hAnsiTheme="majorHAnsi"/>
          <w:lang w:val="en-GB"/>
        </w:rPr>
        <w:t>Asenso-Okyere et al., 2011; Wielgosz et al., 2012)</w:t>
      </w:r>
      <w:r>
        <w:rPr>
          <w:rFonts w:ascii="Calibri" w:hAnsi="Calibri" w:asciiTheme="majorHAnsi" w:hAnsiTheme="majorHAnsi"/>
          <w:lang w:val="en-GB"/>
        </w:rPr>
      </w:r>
      <w:r>
        <w:fldChar w:fldCharType="end"/>
      </w:r>
      <w:bookmarkEnd w:id="236"/>
      <w:bookmarkEnd w:id="237"/>
      <w:r>
        <w:rPr>
          <w:rFonts w:ascii="Calibri" w:hAnsi="Calibri" w:asciiTheme="majorHAnsi" w:hAnsiTheme="majorHAnsi"/>
          <w:lang w:val="en-GB"/>
        </w:rPr>
        <w:t xml:space="preserve"> and labour productivity or human capital accumulation </w:t>
      </w:r>
      <w:r>
        <w:fldChar w:fldCharType="begin"/>
      </w:r>
      <w:r>
        <w:instrText>ADDIN CSL_CITATION { "citationItems" : [ { "id" : "ITEM-1", "itemData" : { "author" : [ { "dropping-particle" : "", "family" : "Barofsky", "given" : "Jeremy", "non-dropping-particle" : "", "parse-names" : false, "suffix" : "" }, { "dropping-particle" : "", "family" : "Anekwe", "given" : "Tobenna D", "non-dropping-particle" : "", "parse-names" : false, "suffix" : "" }, { "dropping-particle" : "", "family" : "Chase", "given" : "Claire", "non-dropping-particle" : "", "parse-names" : false, "suffix" : "" }, { "dropping-particle" : "", "family" : "Fazadfar", "given" : "Farshad", "non-dropping-particle" : "", "parse-names" : false, "suffix" : "" } ], "container-title" : "Journal of health economics", "id" : "ITEM-1", "issued" : { "date-parts" : [ [ "2015" ] ] }, "page" : "118-136", "title" : "Malaria Eradication and Economic Outcomes in Sub-Saharan Africa: Evidence from Uganda", "type" : "article-journal", "volume" : "44" }, "uris" : [ "http://www.mendeley.com/documents/?uuid=3c02fdf1-ed02-466d-99e5-c88970b21d1e" ] }, { "id" : "ITEM-2", "itemData" : { "DOI" : "10.1257/app.2.2.72", "ISSN" : "1945-7782", "author" : [ { "dropping-particle" : "", "family" : "Cutler", "given" : "David", "non-dropping-particle" : "", "parse-names" : false, "suffix" : "" }, { "dropping-particle" : "", "family" : "Fung", "given" : "Winnie", "non-dropping-particle" : "", "parse-names" : false, "suffix" : "" }, { "dropping-particle" : "", "family" : "Kremer", "given" : "Michael", "non-dropping-particle" : "", "parse-names" : false, "suffix" : "" }, { "dropping-particle" : "", "family" : "Singhal", "given" : "Monica", "non-dropping-particle" : "", "parse-names" : false, "suffix" : "" }, { "dropping-particle" : "", "family" : "Vogl", "given" : "Tom", "non-dropping-particle" : "", "parse-names" : false, "suffix" : "" } ], "container-title" : "American Economic Journal: Applied Economics", "id" : "ITEM-2", "issue" : "2", "issued" : { "date-parts" : [ [ "2010", "4" ] ] }, "page" : "72-94", "title" : "Early-life Malaria Exposure and Adult Outcomes: Evidence from Malaria Eradication in India", "type" : "article-journal", "volume" : "2" }, "uris" : [ "http://www.mendeley.com/documents/?uuid=a9fb1835-49fd-466d-ae6d-6c383c8bd86f" ] }, { "id" : "ITEM-3", "itemData" : { "DOI" : "10.1257/app.2.2.46", "ISSN" : "1945-7782", "PMID" : "23946866", "abstract" : "Mid-twentieth century malaria eradication campaigns largely eliminated malaria from Paraguay and Sri Lanka. Using these interventions as quasi-experiments, I estimate malaria's effect on lifetime female educational attainment through the combination of pre-existing geographic variation in malarial intensity and cohort exposure based on the timing of the national anti-malaria campaigns. The estimates from Sri Lanka and Paraguay are similar and indicate that malaria eradication increased years of educational attainment and literacy. The similarity of the estimates across the countries reinforces our confidence in the validity of the identification strategy.", "author" : [ { "dropping-particle" : "", "family" : "Lucas", "given" : "Adrienne M", "non-dropping-particle" : "", "parse-names" : false, "suffix" : "" } ], "container-title" : "American economic journal. Applied economics", "id" : "ITEM-3", "issue" : "2", "issued" : { "date-parts" : [ [ "2010", "4" ] ] }, "page" : "46-71", "title" : "Malaria Eradication and Educational Attainment: Evidence from Paraguay and Sri Lanka.", "type" : "article-journal", "volume" : "2" }, "uris" : [ "http://www.mendeley.com/documents/?uuid=72ae037d-736d-45ec-a61c-a96d116ee42d" ] } ], "mendeley" : { "formattedCitation" : "(Barofsky et al., 2015; Cutler et al., 2010; Lucas, 2010)", "plainTextFormattedCitation" : "(Barofsky et al., 2015; Cutler et al., 2010; Lucas, 2010)", "previouslyFormattedCitation" : "(Barofsky et al., 2015; Cutler et al., 2010; Lucas, 2010)" }, "properties" : {  }, "schema" : "https://github.com/citation-style-language/schema/raw/master/csl-citation.json" }</w:instrText>
      </w:r>
      <w:r>
        <w:fldChar w:fldCharType="separate"/>
      </w:r>
      <w:bookmarkStart w:id="238" w:name="__Fieldmark__1533_513475976"/>
      <w:r>
        <w:rPr>
          <w:rFonts w:ascii="Calibri" w:hAnsi="Calibri" w:asciiTheme="majorHAnsi" w:hAnsiTheme="majorHAnsi"/>
          <w:lang w:val="en-GB"/>
        </w:rPr>
        <w:t>(</w:t>
      </w:r>
      <w:bookmarkStart w:id="239" w:name="__Fieldmark__4510_903549581"/>
      <w:r>
        <w:rPr>
          <w:rFonts w:ascii="Calibri" w:hAnsi="Calibri" w:asciiTheme="majorHAnsi" w:hAnsiTheme="majorHAnsi"/>
          <w:lang w:val="en-GB"/>
        </w:rPr>
        <w:t>Barofsky et al., 2015; Cutler et al., 2010; Lucas, 2010)</w:t>
      </w:r>
      <w:r>
        <w:rPr>
          <w:rFonts w:ascii="Calibri" w:hAnsi="Calibri" w:asciiTheme="majorHAnsi" w:hAnsiTheme="majorHAnsi"/>
          <w:lang w:val="en-GB"/>
        </w:rPr>
      </w:r>
      <w:r>
        <w:fldChar w:fldCharType="end"/>
      </w:r>
      <w:bookmarkEnd w:id="238"/>
      <w:bookmarkEnd w:id="239"/>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pPr>
      <w:bookmarkStart w:id="240" w:name="_Toc382138186"/>
      <w:bookmarkEnd w:id="240"/>
      <w:r>
        <w:rPr>
          <w:lang w:val="en-GB"/>
        </w:rPr>
        <w:t>5. Human papillomavirus (HPV)</w:t>
      </w:r>
    </w:p>
    <w:p>
      <w:pPr>
        <w:pStyle w:val="Normal"/>
        <w:spacing w:lineRule="auto" w:line="360"/>
        <w:rPr/>
      </w:pPr>
      <w:r>
        <w:rPr>
          <w:rFonts w:ascii="Calibri" w:hAnsi="Calibri" w:asciiTheme="majorHAnsi" w:hAnsiTheme="majorHAnsi"/>
          <w:lang w:val="en-GB"/>
        </w:rPr>
        <w:t xml:space="preserve">Cervical cancer is the second most common cancer in the world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41" w:name="__Fieldmark__1546_513475976"/>
      <w:r>
        <w:rPr>
          <w:rFonts w:ascii="Calibri" w:hAnsi="Calibri" w:asciiTheme="majorHAnsi" w:hAnsiTheme="majorHAnsi"/>
          <w:lang w:val="en-GB"/>
        </w:rPr>
        <w:t>(</w:t>
      </w:r>
      <w:bookmarkStart w:id="242" w:name="__Fieldmark__4524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41"/>
      <w:bookmarkEnd w:id="242"/>
      <w:r>
        <w:rPr>
          <w:rFonts w:ascii="Calibri" w:hAnsi="Calibri" w:asciiTheme="majorHAnsi" w:hAnsiTheme="majorHAnsi"/>
          <w:lang w:val="en-GB"/>
        </w:rPr>
        <w:t xml:space="preserve">. In 2012, 528,000 new cases were diagnosed and 266,000 women died, with 85% of cases and 90% of deaths occurring in LMICs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3" w:name="__Fieldmark__1553_513475976"/>
      <w:r>
        <w:rPr>
          <w:rFonts w:ascii="Calibri" w:hAnsi="Calibri" w:asciiTheme="majorHAnsi" w:hAnsiTheme="majorHAnsi"/>
          <w:lang w:val="en-GB"/>
        </w:rPr>
        <w:t>(</w:t>
      </w:r>
      <w:bookmarkStart w:id="244" w:name="__Fieldmark__4536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3"/>
      <w:bookmarkEnd w:id="244"/>
      <w:r>
        <w:rPr>
          <w:rFonts w:ascii="Calibri" w:hAnsi="Calibri" w:asciiTheme="majorHAnsi" w:hAnsiTheme="majorHAnsi"/>
          <w:lang w:val="en-GB"/>
        </w:rPr>
        <w:t xml:space="preserve">. The main cause of cervical cancer is </w:t>
      </w:r>
      <w:del w:id="161" w:author="Unknown Author" w:date="2018-04-12T11:17:00Z">
        <w:r>
          <w:rPr>
            <w:rFonts w:ascii="Calibri" w:hAnsi="Calibri" w:asciiTheme="majorHAnsi" w:hAnsiTheme="majorHAnsi"/>
            <w:lang w:val="en-GB"/>
          </w:rPr>
          <w:delText>the</w:delText>
        </w:r>
      </w:del>
      <w:r>
        <w:rPr>
          <w:rFonts w:ascii="Calibri" w:hAnsi="Calibri" w:asciiTheme="majorHAnsi" w:hAnsiTheme="majorHAnsi"/>
          <w:lang w:val="en-GB"/>
        </w:rPr>
        <w:t xml:space="preserve"> infection with high-risk HPV </w:t>
      </w:r>
      <w:del w:id="162" w:author="Unknown Author" w:date="2018-04-12T11:17:00Z">
        <w:r>
          <w:rPr>
            <w:rFonts w:ascii="Calibri" w:hAnsi="Calibri" w:asciiTheme="majorHAnsi" w:hAnsiTheme="majorHAnsi"/>
            <w:lang w:val="en-GB"/>
          </w:rPr>
          <w:delText>types</w:delText>
        </w:r>
      </w:del>
      <w:r>
        <w:rPr>
          <w:rFonts w:ascii="Calibri" w:hAnsi="Calibri" w:asciiTheme="majorHAnsi" w:hAnsiTheme="majorHAnsi"/>
          <w:lang w:val="en-GB"/>
        </w:rPr>
        <w:t xml:space="preserve"> </w:t>
      </w:r>
      <w:r>
        <w:fldChar w:fldCharType="begin"/>
      </w:r>
      <w:r>
        <w:instrText>ADDIN CSL_CITATION { "citationItems" : [ { "id" : "ITEM-1", "itemData" : { "author" : [ { "dropping-particle" : "", "family" : "World Health Organization", "given" : "", "non-dropping-particle" : "", "parse-names" : false, "suffix" : "" } ], "id" : "ITEM-1", "issued" : { "date-parts" : [ [ "2014" ] ] }, "publisher-place" : "Geneve", "title" : "Comprehensive Cervical Cancer Control. A guide to essential practice. Second edition", "type" : "report" }, "uris" : [ "http://www.mendeley.com/documents/?uuid=8ff7dc24-e378-4221-ab4d-a2a440c99956" ] } ], "mendeley" : { "formattedCitation" : "(World Health Organization, 2014c)", "plainTextFormattedCitation" : "(World Health Organization, 2014c)", "previouslyFormattedCitation" : "(World Health Organization, 2014c)" }, "properties" : {  }, "schema" : "https://github.com/citation-style-language/schema/raw/master/csl-citation.json" }</w:instrText>
      </w:r>
      <w:r>
        <w:fldChar w:fldCharType="separate"/>
      </w:r>
      <w:bookmarkStart w:id="245" w:name="__Fieldmark__1560_513475976"/>
      <w:r>
        <w:rPr>
          <w:rFonts w:ascii="Calibri" w:hAnsi="Calibri" w:asciiTheme="majorHAnsi" w:hAnsiTheme="majorHAnsi"/>
          <w:lang w:val="en-GB"/>
        </w:rPr>
        <w:t>(</w:t>
      </w:r>
      <w:bookmarkStart w:id="246" w:name="__Fieldmark__4545_903549581"/>
      <w:r>
        <w:rPr>
          <w:rFonts w:ascii="Calibri" w:hAnsi="Calibri" w:asciiTheme="majorHAnsi" w:hAnsiTheme="majorHAnsi"/>
          <w:lang w:val="en-GB"/>
        </w:rPr>
        <w:t>World Health Organization, 2014c)</w:t>
      </w:r>
      <w:r>
        <w:rPr>
          <w:rFonts w:ascii="Calibri" w:hAnsi="Calibri" w:asciiTheme="majorHAnsi" w:hAnsiTheme="majorHAnsi"/>
          <w:lang w:val="en-GB"/>
        </w:rPr>
      </w:r>
      <w:r>
        <w:fldChar w:fldCharType="end"/>
      </w:r>
      <w:bookmarkEnd w:id="245"/>
      <w:bookmarkEnd w:id="246"/>
      <w:r>
        <w:rPr>
          <w:rFonts w:ascii="Calibri" w:hAnsi="Calibri" w:asciiTheme="majorHAnsi" w:hAnsiTheme="majorHAnsi"/>
          <w:lang w:val="en-GB"/>
        </w:rPr>
        <w:t xml:space="preserve">. </w:t>
      </w:r>
      <w:r>
        <w:rPr>
          <w:rFonts w:ascii="Calibri" w:hAnsi="Calibri" w:asciiTheme="majorHAnsi" w:hAnsiTheme="majorHAnsi"/>
          <w:b/>
          <w:lang w:val="en-GB"/>
        </w:rPr>
        <w:t>Figure 6</w:t>
      </w:r>
      <w:r>
        <w:rPr>
          <w:rFonts w:ascii="Calibri" w:hAnsi="Calibri" w:asciiTheme="majorHAnsi" w:hAnsiTheme="majorHAnsi"/>
          <w:lang w:val="en-GB"/>
        </w:rPr>
        <w:t xml:space="preserve"> shows the worldwide incidence of cervical cancer for 2012. In Mozambique, 5,622 women are diagnosed with cervical cancer and almost 4,061 women die each year, implying it is the most frequent type of cancer in women in the country and among women between 15 and 44 years of age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"(ICO Information Centre on HPV and Cancer, 2017)", "plainTextFormattedCitation" : "(ICO Information Centre on HPV and Cancer, 2017)", "previouslyFormattedCitation" : "(ICO Information Centre on HPV and Cancer, 2017)" }, "properties" : {  }, "schema" : "https://github.com/citation-style-language/schema/raw/master/csl-citation.json" }</w:instrText>
      </w:r>
      <w:r>
        <w:fldChar w:fldCharType="separate"/>
      </w:r>
      <w:bookmarkStart w:id="247" w:name="__Fieldmark__1569_513475976"/>
      <w:r>
        <w:rPr>
          <w:rFonts w:ascii="Calibri" w:hAnsi="Calibri" w:asciiTheme="majorHAnsi" w:hAnsiTheme="majorHAnsi"/>
          <w:lang w:val="en-GB"/>
        </w:rPr>
        <w:t>(</w:t>
      </w:r>
      <w:bookmarkStart w:id="248" w:name="__Fieldmark__4575_903549581"/>
      <w:r>
        <w:rPr>
          <w:rFonts w:ascii="Calibri" w:hAnsi="Calibri" w:asciiTheme="majorHAnsi" w:hAnsiTheme="majorHAnsi"/>
          <w:lang w:val="en-GB"/>
        </w:rPr>
        <w:t>ICO Information Centre on HPV and Cancer, 2017)</w:t>
      </w:r>
      <w:r>
        <w:rPr>
          <w:rFonts w:ascii="Calibri" w:hAnsi="Calibri" w:asciiTheme="majorHAnsi" w:hAnsiTheme="majorHAnsi"/>
          <w:lang w:val="en-GB"/>
        </w:rPr>
      </w:r>
      <w:r>
        <w:fldChar w:fldCharType="end"/>
      </w:r>
      <w:bookmarkEnd w:id="247"/>
      <w:bookmarkEnd w:id="248"/>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 xml:space="preserve">Figure 6. Estimated cervical cancer incidence worldwide, 2012 </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pPr>
            <w:r>
              <w:rPr/>
              <w:drawing>
                <wp:inline distT="0" distB="0" distL="0" distR="0">
                  <wp:extent cx="5396230" cy="3230880"/>
                  <wp:effectExtent l="0" t="0" r="0" b="0"/>
                  <wp:docPr id="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descr=""/>
                          <pic:cNvPicPr>
                            <a:picLocks noChangeAspect="1" noChangeArrowheads="1"/>
                          </pic:cNvPicPr>
                        </pic:nvPicPr>
                        <pic:blipFill>
                          <a:blip r:embed="rId9"/>
                          <a:stretch>
                            <a:fillRect/>
                          </a:stretch>
                        </pic:blipFill>
                        <pic:spPr bwMode="auto">
                          <a:xfrm>
                            <a:off x="0" y="0"/>
                            <a:ext cx="5396230" cy="323088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xml:space="preserve">: International Agency for Research on Cancer (IARC), World Health Organisation (WHO). GLOBOCAN 2012: estimated cancer incidence, mortality and prevalence worldwide in 2012: cancer fact sheets: cervical cancer. Lyon: IARC; 2014 </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I</w:t>
      </w:r>
      <w:ins w:id="163" w:author="Unknown Author" w:date="2018-04-12T11:18:00Z">
        <w:r>
          <w:rPr>
            <w:rFonts w:ascii="Calibri" w:hAnsi="Calibri" w:asciiTheme="majorHAnsi" w:hAnsiTheme="majorHAnsi"/>
            <w:lang w:val="en-GB"/>
          </w:rPr>
          <w:commentReference w:id="8"/>
        </w:r>
      </w:ins>
      <w:del w:id="164" w:author="Unknown Author" w:date="2018-04-12T11:18:00Z">
        <w:r>
          <w:rPr>
            <w:rFonts w:ascii="Calibri" w:hAnsi="Calibri" w:asciiTheme="majorHAnsi" w:hAnsiTheme="majorHAnsi"/>
            <w:lang w:val="en-GB"/>
          </w:rPr>
          <w:delText>n the last decades, i</w:delText>
        </w:r>
      </w:del>
      <w:r>
        <w:rPr>
          <w:rFonts w:ascii="Calibri" w:hAnsi="Calibri" w:asciiTheme="majorHAnsi" w:hAnsiTheme="majorHAnsi"/>
          <w:lang w:val="en-GB"/>
        </w:rPr>
        <w:t xml:space="preserve">ncidence of cervical cancer and associated deaths have been reduced in HICs thanks to the improved prevention strategies, early detection and treatment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"(World Health Organization, 2014b)", "plainTextFormattedCitation" : "(World Health Organization, 2014b)", "previouslyFormattedCitation" : "(World Health Organization, 2014b)" }, "properties" : {  }, "schema" : "https://github.com/citation-style-language/schema/raw/master/csl-citation.json" }</w:instrText>
      </w:r>
      <w:r>
        <w:fldChar w:fldCharType="separate"/>
      </w:r>
      <w:bookmarkStart w:id="249" w:name="__Fieldmark__1589_513475976"/>
      <w:r>
        <w:rPr>
          <w:rFonts w:ascii="Calibri" w:hAnsi="Calibri" w:asciiTheme="majorHAnsi" w:hAnsiTheme="majorHAnsi"/>
          <w:lang w:val="en-GB"/>
        </w:rPr>
        <w:t>(</w:t>
      </w:r>
      <w:bookmarkStart w:id="250" w:name="__Fieldmark__4604_903549581"/>
      <w:r>
        <w:rPr>
          <w:rFonts w:ascii="Calibri" w:hAnsi="Calibri" w:asciiTheme="majorHAnsi" w:hAnsiTheme="majorHAnsi"/>
          <w:lang w:val="en-GB"/>
        </w:rPr>
        <w:t>World Health Organization, 2014b)</w:t>
      </w:r>
      <w:r>
        <w:rPr>
          <w:rFonts w:ascii="Calibri" w:hAnsi="Calibri" w:asciiTheme="majorHAnsi" w:hAnsiTheme="majorHAnsi"/>
          <w:lang w:val="en-GB"/>
        </w:rPr>
      </w:r>
      <w:r>
        <w:fldChar w:fldCharType="end"/>
      </w:r>
      <w:bookmarkEnd w:id="249"/>
      <w:bookmarkEnd w:id="250"/>
      <w:r>
        <w:rPr>
          <w:rFonts w:ascii="Calibri" w:hAnsi="Calibri" w:asciiTheme="majorHAnsi" w:hAnsiTheme="majorHAnsi"/>
          <w:lang w:val="en-GB"/>
        </w:rPr>
        <w:t>. Current prevention and control strategies for cervical cancer are classified according to 3 types of aims: (1) reduce HPV infections, (2) intercepting the progress from pre-cancer to invasive cancer and (3) reduce deaths. Early preventive interventions include vaccinating girls between 9 and 13 years old, sexual education for adolescents, condom promotion and male circumcision. Prevention is complemented with cervical cancer pre-screening programmes, recommended for women between 30 and 49 years of age. Current screening programmes are: (1) conventional cytology, (2) visual inspection with acetic acid and (3) HPV testing for high-risk HPV types.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Screening for cervical cancer is highly effective, but it requires infrastructure and skilled human resources </w:t>
      </w:r>
      <w:r>
        <w:fldChar w:fldCharType="begin"/>
      </w:r>
      <w:r>
        <w:instrText>ADDIN CSL_CITATION { "citationItems" : [ { "id" : "ITEM-1", "itemData" : { "DOI" : "10.1093/annonc/mdr015", "ISBN" : "3226425021", "ISSN" : "09237534", "PMID" : "21471563", "abstract" : "BACKGROUND: The knowledge that persistent human papillomavirus infection is the main cause of cervical cancer has resulted in the development of assays that detect nucleic acids of the virus and prophylactic vaccines. Up-to-date and reliable data are needed to assess impact of existing preventive measures and to define priorities for the future.\\n\\nMATERIALS AND METHODS: Best estimates on cervical cancer incidence and mortality are presented using recently compiled data from cancer and mortality registries for the year 2008.\\n\\nRESULTS: There were an estimated 530,000 cases of cervical cancer and 275,000 deaths from the disease in 2008. It is the third most common female cancer ranking after breast (1.38 million cases) and colorectal cancer (0.57 million cases). The incidence of cervical cancer varies widely among countries with world age-standardised rates ranging from &lt;1 to &gt;50 per 100,000. Cervical cancer is the leading cause of cancer-related death among women in Eastern, Western and Middle Africa; Central America; South-Central Asia and Melanesia. The highest incidence rate is observed in Guinea, with \u223c6.5% of women developing cervical cancer before the age of 75 years. India is the country with the highest disease frequency with 134,000 cases and 73 000 deaths. Cervical cancer, more than the other major cancers, affects women &lt;45 years.\\n\\nCONCLUSIONS: In spite of effective screening methods, cervical cancer continues to be a major public health problem. New methodologies of cervical cancer prevention should be made available and accessible for women of all countries through well-organised programmes.", "author" : [ { "dropping-particle" : "", "family" : "Arbyn", "given" : "M.", "non-dropping-particle" : "", "parse-names" : false, "suffix" : "" }, { "dropping-particle" : "", "family" : "Castellsagu\u00e9", "given" : "X.", "non-dropping-particle" : "", "parse-names" : false, "suffix" : "" }, { "dropping-particle" : "", "family" : "sanjos\u00e9", "given" : "S.", "non-dropping-particle" : "de", "parse-names" : false, "suffix" : "" }, { "dropping-particle" : "", "family" : "Bruni", "given" : "L.", "non-dropping-particle" : "", "parse-names" : false, "suffix" : "" }, { "dropping-particle" : "", "family" : "Saraiya", "given" : "M.", "non-dropping-particle" : "", "parse-names" : false, "suffix" : "" }, { "dropping-particle" : "", "family" : "Bray", "given" : "F.", "non-dropping-particle" : "", "parse-names" : false, "suffix" : "" }, { "dropping-particle" : "", "family" : "Ferlay", "given" : "J.", "non-dropping-particle" : "", "parse-names" : false, "suffix" : "" } ], "container-title" : "Annals of Oncology", "id" : "ITEM-1", "issue" : "12", "issued" : { "date-parts" : [ [ "2011" ] ] }, "page" : "2675-2686", "title" : "Worldwide burden of cervical cancer in 2008", "type" : "article-journal", "volume" : "22" }, "uris" : [ "http://www.mendeley.com/documents/?uuid=a485cf3b-efaa-4072-89fa-ab2668f8e71d" ] } ], "mendeley" : { "formattedCitation" : "(Arbyn et al., 2011)", "plainTextFormattedCitation" : "(Arbyn et al., 2011)", "previouslyFormattedCitation" : "(Arbyn et al., 2011)" }, "properties" : {  }, "schema" : "https://github.com/citation-style-language/schema/raw/master/csl-citation.json" }</w:instrText>
      </w:r>
      <w:r>
        <w:fldChar w:fldCharType="separate"/>
      </w:r>
      <w:bookmarkStart w:id="251" w:name="__Fieldmark__1598_513475976"/>
      <w:r>
        <w:rPr>
          <w:rFonts w:ascii="Calibri" w:hAnsi="Calibri" w:asciiTheme="majorHAnsi" w:hAnsiTheme="majorHAnsi"/>
          <w:lang w:val="en-GB"/>
        </w:rPr>
        <w:t>(</w:t>
      </w:r>
      <w:bookmarkStart w:id="252" w:name="__Fieldmark__4643_903549581"/>
      <w:r>
        <w:rPr>
          <w:rFonts w:ascii="Calibri" w:hAnsi="Calibri" w:asciiTheme="majorHAnsi" w:hAnsiTheme="majorHAnsi"/>
          <w:lang w:val="en-GB"/>
        </w:rPr>
        <w:t>Arbyn et al., 2011)</w:t>
      </w:r>
      <w:r>
        <w:rPr>
          <w:rFonts w:ascii="Calibri" w:hAnsi="Calibri" w:asciiTheme="majorHAnsi" w:hAnsiTheme="majorHAnsi"/>
          <w:lang w:val="en-GB"/>
        </w:rPr>
      </w:r>
      <w:r>
        <w:fldChar w:fldCharType="end"/>
      </w:r>
      <w:bookmarkEnd w:id="251"/>
      <w:bookmarkEnd w:id="252"/>
      <w:r>
        <w:rPr>
          <w:rFonts w:ascii="Calibri" w:hAnsi="Calibri" w:asciiTheme="majorHAnsi" w:hAnsiTheme="majorHAnsi"/>
          <w:lang w:val="en-GB"/>
        </w:rPr>
        <w:t xml:space="preserve">, which complicates its implementation in low-resourced settings. Alternatively, HPV vaccination may be an effective tool to reduce the disease burden in LMICs. Currently, two HPV effective vaccines are available and protect against HPV type 16 and 18, which cause around 70% of all cervical cancers.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Economic studies have focused on quantifying the implementation costs of HPV vaccination programmes in LMICs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"(Hutubessy et al., 2012; Levin et al., 2013; Levin et al., 2014)", "plainTextFormattedCitation" : "(Hutubessy et al., 2012; Levin et al., 2013; Levin et al., 2014)", "previouslyFormattedCitation" : "(Hutubessy et al., 2012; Levin et al., 2013; Levin et al., 2014)" }, "properties" : {  }, "schema" : "https://github.com/citation-style-language/schema/raw/master/csl-citation.json" }</w:instrText>
      </w:r>
      <w:r>
        <w:fldChar w:fldCharType="separate"/>
      </w:r>
      <w:bookmarkStart w:id="253" w:name="__Fieldmark__1607_513475976"/>
      <w:r>
        <w:rPr>
          <w:rFonts w:ascii="Calibri" w:hAnsi="Calibri" w:asciiTheme="majorHAnsi" w:hAnsiTheme="majorHAnsi"/>
          <w:lang w:val="en-GB"/>
        </w:rPr>
        <w:t>(</w:t>
      </w:r>
      <w:bookmarkStart w:id="254" w:name="__Fieldmark__4666_903549581"/>
      <w:r>
        <w:rPr>
          <w:rFonts w:ascii="Calibri" w:hAnsi="Calibri" w:asciiTheme="majorHAnsi" w:hAnsiTheme="majorHAnsi"/>
          <w:lang w:val="en-GB"/>
        </w:rPr>
        <w:t>Hutubessy et al., 2012; Levin et al., 2013; Levin et al., 2014)</w:t>
      </w:r>
      <w:r>
        <w:rPr>
          <w:rFonts w:ascii="Calibri" w:hAnsi="Calibri" w:asciiTheme="majorHAnsi" w:hAnsiTheme="majorHAnsi"/>
          <w:lang w:val="en-GB"/>
        </w:rPr>
      </w:r>
      <w:r>
        <w:fldChar w:fldCharType="end"/>
      </w:r>
      <w:bookmarkEnd w:id="253"/>
      <w:bookmarkEnd w:id="254"/>
      <w:r>
        <w:rPr>
          <w:rFonts w:ascii="Calibri" w:hAnsi="Calibri" w:asciiTheme="majorHAnsi" w:hAnsiTheme="majorHAnsi"/>
          <w:lang w:val="en-GB"/>
        </w:rPr>
        <w:t xml:space="preserve">, or on eliciting the preferences and willingness-to-pay for HPV vaccination </w:t>
      </w:r>
      <w:r>
        <w:fldChar w:fldCharType="begin"/>
      </w:r>
      <w:r>
        <w:instrText>ADDIN CSL_CITATION { "citationItems" : [ { "id" : "ITEM-1", "itemData" : { "DOI" : "10.1016/j.socscimed.2011.05.029", "ISBN" : "1873-5347", "ISSN" : "02779536", "PMID" : "21733609", "abstract" : "About 530,000 women develop cervical cancer worldwide and 275,000 die from the disease each year. Eighty percent of these deaths occur in developing countries. In Vietnam, cervical cancer has recently emerged as the most common type of cancer in women, and there are no national screening programs for cervical cancer. Since 2009, two different human papillomavirus (HPV) vaccines have been licensed for use in Vietnam, but access to these vaccines is generally limited to people who live in urban areas. Studies have shown that HPV vaccination may be cost-effective in cervical cancer prevention in Vietnam, depending on vaccination costs. Given that current HPV vaccines are expensive and public health funding for supporting a rapid introduction of the vaccine is limited, expanding and sustaining access to the HPV vaccine may require alternative financing mechanisms, such as fees-based immunization services.A conjoint analysis study was conducted with mothers of girls 9-17 years of age in Vinh Long Province in Vietnam to estimate the mothers' demand for HPV vaccines for their daughters and to measure the tradeoffs between vaccine fees and vaccine uptake. The results suggest that the demand for HPV vaccines was high, increased with vaccine effectiveness and duration of effectiveness, and decreased with vaccine cost. Vaccine effectiveness was the most important vaccine attribute to these mothers, followed by duration of effectiveness. The predicted probability of respondents buying an HPV vaccine that was 70% effective for 10 years varied by the price, ranging from 30% when the vaccine price was $353 per course, to 68% when the vaccine cost $6 per course. As expected, demand and predicted purchase probability were higher among groups with higher socioeconomic status. ?? 2011 Elsevier Ltd.", "author" : [ { "dropping-particle" : "", "family" : "Poulos", "given" : "Christine", "non-dropping-particle" : "", "parse-names" : false, "suffix" : "" }, { "dropping-particle" : "", "family" : "Yang", "given" : "Jui Chen", "non-dropping-particle" : "", "parse-names" : false, "suffix" : "" }, { "dropping-particle" : "", "family" : "Levin", "given" : "Carol", "non-dropping-particle" : "", "parse-names" : false, "suffix" : "" }, { "dropping-particle" : "", "family" : "Minh", "given" : "Hoang", "non-dropping-particle" : "Van", "parse-names" : false, "suffix" : "" }, { "dropping-particle" : "", "family" : "Giang", "given" : "Kim Bao", "non-dropping-particle" : "", "parse-names" : false, "suffix" : "" }, { "dropping-particle" : "", "family" : "Nguyen", "given" : "Diep", "non-dropping-particle" : "", "parse-names" : false, "suffix" : "" } ], "container-title" : "Social Science and Medicine", "id" : "ITEM-1", "issue" : "2", "issued" : { "date-parts" : [ [ "2011" ] ] }, "page" : "226-234", "publisher" : "Elsevier Ltd", "title" : "Mothers' preferences and willingness to pay for HPV vaccines in Vinh Long Province, Vietnam", "type" : "article-journal", "volume" : "73" }, "uris" : [ "http://www.mendeley.com/documents/?uuid=dfa1cf13-9cf3-429c-be17-309bd70fbe61" ] } ], "mendeley" : { "formattedCitation" : "(Poulos et al., 2011)", "plainTextFormattedCitation" : "(Poulos et al., 2011)", "previouslyFormattedCitation" : "(Poulos et al., 2011)" }, "properties" : {  }, "schema" : "https://github.com/citation-style-language/schema/raw/master/csl-citation.json" }</w:instrText>
      </w:r>
      <w:r>
        <w:fldChar w:fldCharType="separate"/>
      </w:r>
      <w:bookmarkStart w:id="255" w:name="__Fieldmark__1614_513475976"/>
      <w:r>
        <w:rPr>
          <w:rFonts w:ascii="Calibri" w:hAnsi="Calibri" w:asciiTheme="majorHAnsi" w:hAnsiTheme="majorHAnsi"/>
          <w:lang w:val="en-GB"/>
        </w:rPr>
        <w:t>(</w:t>
      </w:r>
      <w:bookmarkStart w:id="256" w:name="__Fieldmark__4674_903549581"/>
      <w:r>
        <w:rPr>
          <w:rFonts w:ascii="Calibri" w:hAnsi="Calibri" w:asciiTheme="majorHAnsi" w:hAnsiTheme="majorHAnsi"/>
          <w:lang w:val="en-GB"/>
        </w:rPr>
        <w:t>Poulos et al., 2011)</w:t>
      </w:r>
      <w:r>
        <w:rPr>
          <w:rFonts w:ascii="Calibri" w:hAnsi="Calibri" w:asciiTheme="majorHAnsi" w:hAnsiTheme="majorHAnsi"/>
          <w:lang w:val="en-GB"/>
        </w:rPr>
      </w:r>
      <w:r>
        <w:fldChar w:fldCharType="end"/>
      </w:r>
      <w:bookmarkEnd w:id="255"/>
      <w:bookmarkEnd w:id="256"/>
      <w:r>
        <w:rPr>
          <w:rFonts w:ascii="Calibri" w:hAnsi="Calibri" w:asciiTheme="majorHAnsi" w:hAnsiTheme="majorHAnsi"/>
          <w:lang w:val="en-GB"/>
        </w:rPr>
        <w:t xml:space="preserve">. Research has also expanded to the analysis of the cost-effectiveness of HPV vaccination programmes in HICs </w:t>
      </w:r>
      <w:r>
        <w:fldChar w:fldCharType="begin"/>
      </w:r>
      <w:r>
        <w:instrText>ADDIN CSL_CITATION { "citationItems" : [ { "id" : "ITEM-1", "itemData" : { "DOI" : "10.1007/s40273-016-0407-y", "ISBN" : "1170-7690", "ISSN" : "11792027", "PMID" : "27178048", "abstract" : "BACKGROUND: A large number of economic evaluations have been published that assess alternative possible human papillomavirus (HPV) vaccination strategies. Understanding differences in the modelling methodologies used in these studies is important to assess the accuracy, comparability and generalisability of their results.\\n\\nOBJECTIVES: The aim of this review was to identify published economic models of HPV vaccination programmes and understand how characteristics of these studies vary by geographical area, date of publication and the policy question being addressed.\\n\\nMETHODS: We performed literature searches in MEDLINE, Embase, Econlit, The Health Economic Evaluations Database (HEED) and The National Health Service Economic Evaluation Database (NHS EED). From the 1189 unique studies retrieved, 65 studies were included for data extraction based on a priori eligibility criteria. Two authors independently reviewed these articles to determine eligibility for the final review. Data were extracted from the selected studies, focussing on six key structural or methodological themes covering different aspects of the model(s) used that may influence cost-effectiveness results.\\n\\nRESULTS: More recently published studies tend to model a larger number of HPV strains, and include a larger number of HPV-associated diseases. Studies published in Europe and North America also tend to include a larger number of diseases and are more likely to incorporate the impact of herd immunity and to use more realistic assumptions around vaccine efficacy and coverage. Studies based on previous models often do not include sufficiently robust justifications as to the applicability of the adapted model to the new context.\\n\\nCONCLUSIONS: The considerable between-study heterogeneity in economic evaluations of HPV vaccination programmes makes comparisons between studies difficult, as observed differences in cost effectiveness may be driven by differences in methodology as well as by variations in funding and delivery models and estimates of model parameters. Studies should consistently report not only all simplifying assumptions made but also the estimated impact of these assumptions on the cost-effectiveness results.", "author" : [ { "dropping-particle" : "", "family" : "Pink", "given" : "Joshua", "non-dropping-particle" : "", "parse-names" : false, "suffix" : "" }, { "dropping-particle" : "", "family" : "Parker", "given" : "Ben", "non-dropping-particle" : "", "parse-names" : false, "suffix" : "" }, { "dropping-particle" : "", "family" : "Petrou", "given" : "Stavros", "non-dropping-particle" : "", "parse-names" : false, "suffix" : "" } ], "container-title" : "PharmacoEconomics", "id" : "ITEM-1", "issue" : "9", "issued" : { "date-parts" : [ [ "2016" ] ] }, "page" : "847-861", "publisher" : "Springer International Publishing", "title" : "Cost Effectiveness of HPV Vaccination: A Systematic Review of Modelling Approaches", "type" : "article-journal", "volume" : "34" }, "uris" : [ "http://www.mendeley.com/documents/?uuid=a2e75ff4-3fdd-439a-b5f5-c179013806cb" ] } ], "mendeley" : { "formattedCitation" : "(Pink et al., 2016)", "plainTextFormattedCitation" : "(Pink et al., 2016)", "previouslyFormattedCitation" : "(Pink et al., 2016)" }, "properties" : {  }, "schema" : "https://github.com/citation-style-language/schema/raw/master/csl-citation.json" }</w:instrText>
      </w:r>
      <w:r>
        <w:fldChar w:fldCharType="separate"/>
      </w:r>
      <w:bookmarkStart w:id="257" w:name="__Fieldmark__1621_513475976"/>
      <w:r>
        <w:rPr>
          <w:rFonts w:ascii="Calibri" w:hAnsi="Calibri" w:asciiTheme="majorHAnsi" w:hAnsiTheme="majorHAnsi"/>
          <w:lang w:val="en-GB"/>
        </w:rPr>
        <w:t>(</w:t>
      </w:r>
      <w:bookmarkStart w:id="258" w:name="__Fieldmark__4692_903549581"/>
      <w:r>
        <w:rPr>
          <w:rFonts w:ascii="Calibri" w:hAnsi="Calibri" w:asciiTheme="majorHAnsi" w:hAnsiTheme="majorHAnsi"/>
          <w:lang w:val="en-GB"/>
        </w:rPr>
        <w:t>Pink et al., 2016)</w:t>
      </w:r>
      <w:r>
        <w:rPr>
          <w:rFonts w:ascii="Calibri" w:hAnsi="Calibri" w:asciiTheme="majorHAnsi" w:hAnsiTheme="majorHAnsi"/>
          <w:lang w:val="en-GB"/>
        </w:rPr>
      </w:r>
      <w:r>
        <w:fldChar w:fldCharType="end"/>
      </w:r>
      <w:bookmarkEnd w:id="257"/>
      <w:bookmarkEnd w:id="258"/>
      <w:r>
        <w:rPr>
          <w:rFonts w:ascii="Calibri" w:hAnsi="Calibri" w:asciiTheme="majorHAnsi" w:hAnsiTheme="majorHAnsi"/>
          <w:lang w:val="en-GB"/>
        </w:rPr>
        <w:t xml:space="preserve"> and of the implications of the programmes in terms of social inequalities </w:t>
      </w:r>
      <w:r>
        <w:fldChar w:fldCharType="begin"/>
      </w:r>
      <w:r>
        <w:instrText>ADDIN CSL_CITATION { "citationItems" : [ { "id" : "ITEM-1", "itemData" : { "DOI" : "10.1016/j.socscimed.2012.12.020", "ISBN" : "1873-5347 (Electronic)\r0277-9536 (Linking)", "ISSN" : "02779536", "PMID" : "23337830", "abstract" : "A unique contribution of the fundamental cause theory of health disparities is its ability to account for the persistence of disparities in health and mortality, despite changes in the mechanisms that are relevant at any given time. Few studies, however, have investigated how such mechanisms are created or operate. Examining the introduction of the human papillomavirus (HPV) vaccine for adolescents-a treatment aimed at preventing cervical and other cancers that typically emerge in mid- to late-adulthood-we empirically trace such a disparity-generating mechanism that is in the process of being latently created, testing whether socioeconomic status (SES) and racial/ethnic disparities exist for several facets of vaccination receipt: knowledge about the vaccine, receipt of a health professional recommendation to vaccinate, and initiation and completion of the three-shot vaccination series. Analyses of 2008, 2009, and 2010 United States National Immunization Survey-Teen data (. n = 41,358) reveal disparities consistent with fundamental cause theory, particularly for vaccine knowledge and receipt of a health professional recommendation. While parental knowledge is a prerequisite to adolescent vaccine uptake, low SES and racial/ethnic minority parents have significantly lower odds of knowing about the vaccine. Receipt of a health professional's recommendation to vaccinate is strongly associated with vaccine uptake, however the odds of receiving a recommendation are negatively associated with low SES and black racial/ethnic status. Our findings inform fundamental cause theory by illustrating how disparities in distinct stages of the uptake of new treatments may contribute to reproducing existing health disparities-and, in this case of adolescent HPV vaccination, may maintain future disparities in cervical cancer among adult populations. \u00a9 2012 Elsevier Ltd.", "author" : [ { "dropping-particle" : "", "family" : "Polonijo", "given" : "Andrea N.", "non-dropping-particle" : "", "parse-names" : false, "suffix" : "" }, { "dropping-particle" : "", "family" : "Carpiano", "given" : "Richard M.", "non-dropping-particle" : "", "parse-names" : false, "suffix" : "" } ], "container-title" : "Social Science and Medicine", "id" : "ITEM-1", "issued" : { "date-parts" : [ [ "2013" ] ] }, "page" : "115-125", "publisher" : "Elsevier Ltd", "title" : "Social inequalities in adolescent human papillomavirus (HPV) vaccination: A test of fundamental cause theory", "type" : "article-journal", "volume" : "82" }, "uris" : [ "http://www.mendeley.com/documents/?uuid=4cc4eb3f-b0a3-4800-9a67-3d815cbe46ab" ] } ], "mendeley" : { "formattedCitation" : "(Polonijo and Carpiano, 2013)", "plainTextFormattedCitation" : "(Polonijo and Carpiano, 2013)", "previouslyFormattedCitation" : "(Polonijo and Carpiano, 2013)" }, "properties" : {  }, "schema" : "https://github.com/citation-style-language/schema/raw/master/csl-citation.json" }</w:instrText>
      </w:r>
      <w:r>
        <w:fldChar w:fldCharType="separate"/>
      </w:r>
      <w:bookmarkStart w:id="259" w:name="__Fieldmark__1628_513475976"/>
      <w:r>
        <w:rPr>
          <w:rFonts w:ascii="Calibri" w:hAnsi="Calibri" w:asciiTheme="majorHAnsi" w:hAnsiTheme="majorHAnsi"/>
          <w:lang w:val="en-GB"/>
        </w:rPr>
        <w:t>(</w:t>
      </w:r>
      <w:bookmarkStart w:id="260" w:name="__Fieldmark__4701_903549581"/>
      <w:r>
        <w:rPr>
          <w:rFonts w:ascii="Calibri" w:hAnsi="Calibri" w:asciiTheme="majorHAnsi" w:hAnsiTheme="majorHAnsi"/>
          <w:lang w:val="en-GB"/>
        </w:rPr>
        <w:t>Polonijo and Carpiano, 2013)</w:t>
      </w:r>
      <w:r>
        <w:rPr>
          <w:rFonts w:ascii="Calibri" w:hAnsi="Calibri" w:asciiTheme="majorHAnsi" w:hAnsiTheme="majorHAnsi"/>
          <w:lang w:val="en-GB"/>
        </w:rPr>
      </w:r>
      <w:r>
        <w:fldChar w:fldCharType="end"/>
      </w:r>
      <w:bookmarkEnd w:id="259"/>
      <w:bookmarkEnd w:id="260"/>
      <w:r>
        <w:rPr>
          <w:rFonts w:ascii="Calibri" w:hAnsi="Calibri" w:asciiTheme="majorHAnsi" w:hAnsiTheme="majorHAnsi"/>
          <w:lang w:val="en-GB"/>
        </w:rPr>
        <w:t xml:space="preserve">. Besides quantifying costs, economic studies have focused on vaccine acceptability, evaluating: (1) the societal acceptance of the HPV vaccination programme in HICs </w:t>
      </w:r>
      <w:r>
        <w:fldChar w:fldCharType="begin"/>
      </w:r>
      <w:r>
        <w:instrText>ADDIN CSL_CITATION { "citationItems" : [ { "id" : "ITEM-1", "itemData" : { "DOI" : "10.1016/j.socscimed.2009.05.024", "ISBN" : "0277-9536", "ISSN" : "02779536", "PMID" : "19540642", "abstract" : "Though many studies have documented correlates of HPV vaccine acceptability, our study is one of the first to examine correlates of vaccine initiation. The current study aimed to identify modifiable correlates of HPV vaccine initiation among adolescent girls in high risk communities and whether correlates varied by race and urban/rural status. In 2007, we conducted a cross-sectional survey of 889 parents of adolescent girls aged 10-18 living in areas of North Carolina, USA with high cervical cancer rates. We analyzed data using logistic regression. Health Belief Model constructs were associated with HPV vaccine initiation in multivariate analyses, including doctor's recommendation to get HPV vaccine, perceived barriers to obtaining HPV vaccine, and perceived potential vaccine harms. While exploratory stratified analyses suggested that many of the same parent beliefs were important correlates of HPV vaccine initiation regardless of racial group or urban/rural status, a few differences did exist. These potentially modifiable beliefs offer well-defined targets for future interventions designed to increase HPV vaccine coverage. However, the beliefs' relative importance may differ between racial groups and regions. \u00a9 2009 Elsevier Ltd.", "author" : [ { "dropping-particle" : "", "family" : "Reiter", "given" : "Paul L.", "non-dropping-particle" : "", "parse-names" : false, "suffix" : "" }, { "dropping-particle" : "", "family" : "Brewer", "given" : "Noel T.", "non-dropping-particle" : "", "parse-names" : false, "suffix" : "" }, { "dropping-particle" : "", "family" : "Gottlieb", "given" : "Sami L.", "non-dropping-particle" : "", "parse-names" : false, "suffix" : "" }, { "dropping-particle" : "", "family" : "McRee", "given" : "Annie Laurie", "non-dropping-particle" : "", "parse-names" : false, "suffix" : "" }, { "dropping-particle" : "", "family" : "Smith", "given" : "Jennifer S.", "non-dropping-particle" : "", "parse-names" : false, "suffix" : "" } ], "container-title" : "Social Science and Medicine", "id" : "ITEM-1", "issue" : "3", "issued" : { "date-parts" : [ [ "2009" ] ] }, "page" : "475-480", "publisher" : "Elsevier Ltd", "title" : "Parents' health beliefs and HPV vaccination of their adolescent daughters", "type" : "article-journal", "volume" : "69" }, "uris" : [ "http://www.mendeley.com/documents/?uuid=5903123e-d806-4073-963a-2ee2a4a1daa7" ] } ], "mendeley" : { "formattedCitation" : "(Reiter et al., 2009)", "plainTextFormattedCitation" : "(Reiter et al., 2009)", "previouslyFormattedCitation" : "(Reiter et al., 2009)" }, "properties" : {  }, "schema" : "https://github.com/citation-style-language/schema/raw/master/csl-citation.json" }</w:instrText>
      </w:r>
      <w:r>
        <w:fldChar w:fldCharType="separate"/>
      </w:r>
      <w:bookmarkStart w:id="261" w:name="__Fieldmark__1635_513475976"/>
      <w:r>
        <w:rPr>
          <w:rFonts w:ascii="Calibri" w:hAnsi="Calibri" w:asciiTheme="majorHAnsi" w:hAnsiTheme="majorHAnsi"/>
          <w:lang w:val="en-GB"/>
        </w:rPr>
        <w:t>(</w:t>
      </w:r>
      <w:bookmarkStart w:id="262" w:name="__Fieldmark__4721_903549581"/>
      <w:r>
        <w:rPr>
          <w:rFonts w:ascii="Calibri" w:hAnsi="Calibri" w:asciiTheme="majorHAnsi" w:hAnsiTheme="majorHAnsi"/>
          <w:lang w:val="en-GB"/>
        </w:rPr>
        <w:t>Reiter et al., 2009)</w:t>
      </w:r>
      <w:r>
        <w:rPr>
          <w:rFonts w:ascii="Calibri" w:hAnsi="Calibri" w:asciiTheme="majorHAnsi" w:hAnsiTheme="majorHAnsi"/>
          <w:lang w:val="en-GB"/>
        </w:rPr>
      </w:r>
      <w:r>
        <w:fldChar w:fldCharType="end"/>
      </w:r>
      <w:bookmarkEnd w:id="261"/>
      <w:bookmarkEnd w:id="262"/>
      <w:r>
        <w:rPr>
          <w:rFonts w:ascii="Calibri" w:hAnsi="Calibri" w:asciiTheme="majorHAnsi" w:hAnsiTheme="majorHAnsi"/>
          <w:lang w:val="en-GB"/>
        </w:rPr>
        <w:t xml:space="preserve">, (2) the parental acceptance of HPV vaccinations among different ethnic minorities </w:t>
      </w:r>
      <w:r>
        <w:fldChar w:fldCharType="begin"/>
      </w:r>
      <w:r>
        <w:instrText>ADDIN CSL_CITATION { "citationItems" : [ { "id" : "ITEM-1", "itemData" : { "DOI" : "10.1177/1054773813487749", "ISBN" : "1552-3799; 1054-7738", "ISSN" : "1054-7738", "PMID" : "23749339", "abstract" : "This study examined the determinants of Black parents' intention to have their daughters receive the HPV vaccine. Relationships between behavioral beliefs regarding the HPV vaccine, HPV vaccine attitudes, and HPV vaccine intentions among Black parents were explored. A descriptive correlational design and mediation model were used to explain the hypothesized relationships. HPV parental attitudes were significantly related to vaccine intention (r = .865, p &lt; .001). A significant relationship between HPV vaccine behavioral beliefs and HPV vaccine attitudes was found among Black parents (r = .239, p &lt; .001). Parental vaccine attitudes completely mediated the relationship between HPV vaccine behavioral beliefs and parental HPV vaccine intention. Understanding relevant factors associated with parental intent to have their daughters vaccinated are essential to reducing opposition to the HPV vaccine and increase vaccination rates among Black female adolescents.Copyright \u00a9 The Author(s) 2013.", "author" : [ { "dropping-particle" : "", "family" : "Bryer", "given" : "Jennifer", "non-dropping-particle" : "", "parse-names" : false, "suffix" : "" } ], "container-title" : "Clinical Nursing Research", "id" : "ITEM-1", "issue" : "4", "issued" : { "date-parts" : [ [ "2014" ] ] }, "page" : "369-383", "title" : "Black Parents\u2019 Beliefs, Attitudes, and HPV Vaccine Intentions", "type" : "article-journal", "volume" : "23" }, "uris" : [ "http://www.mendeley.com/documents/?uuid=8a464757-a7f6-4eb9-b62c-098668d6658c" ] }, { "id" : "ITEM-2", "itemData" : { "DOI" : "10.1016/j.socscimed.2016.04.028", "ISBN" : "0277-9536", "ISSN" : "18735347", "PMID" : "27180256", "abstract" : "Background: African-Americans and Latinos suffer the highest cervical cancer burden compared to other populations and have sub-optimal HPV vaccination rates. Objective: To condense research findings of studies conducted with African-Americans and Latinos on factors associated with HPV vaccine acceptability and uptake. Methods: Standards for conducting an integrative review were used. PubMed, Cumulative Index to Nursing and Allied Health Literature, and PsycINFO databases were searched. Results: Awareness about HPV and the HPV vaccine varied by demographics of parents. For Latino parents, acculturation and awareness were associated. However, findings were mixed regarding the association between acculturation and knowledge. Among African-Americans, higher socioeconomic status (SES) and awareness were associated. Sexuality-related concerns, concerns about safety and low perceived risk of daughter's acquiring HPV emerged as barriers to vaccination among Latinos and African-Americans. Among Latinos, vaccine acceptability was associated with the vaccine's cancer prevention benefits and a provider's recommendation. Among African-Americans, acceptability was associated with awareness, perceived risk of acquiring HPV, religion, and a provider's recommendation. Few interventions have been developed to increase HPV vaccine acceptance. Importantly, few studies assessed the influence of culture on vaccine acceptance and uptake. Conclusions: Future research should be informed by culture-centered theories as this is the first step to inform the development of culturally-grounded interventions.", "author" : [ { "dropping-particle" : "V.", "family" : "Galbraith", "given" : "Kayoll", "non-dropping-particle" : "", "parse-names" : false, "suffix" : "" }, { "dropping-particle" : "", "family" : "Lechuga", "given" : "Julia", "non-dropping-particle" : "", "parse-names" : false, "suffix" : "" }, { "dropping-particle" : "", "family" : "Jenerette", "given" : "Coretta M.", "non-dropping-particle" : "", "parse-names" : false, "suffix" : "" }, { "dropping-particle" : "", "family" : "Moore", "given" : "L. T.C.Angelo D.", "non-dropping-particle" : "", "parse-names" : false, "suffix" : "" }, { "dropping-particle" : "", "family" : "Palmer", "given" : "Mary H.", "non-dropping-particle" : "", "parse-names" : false, "suffix" : "" }, { "dropping-particle" : "", "family" : "Hamilton", "given" : "Jill B.", "non-dropping-particle" : "", "parse-names" : false, "suffix" : "" } ], "container-title" : "Social Science and Medicine", "id" : "ITEM-2", "issued" : { "date-parts" : [ [ "2016" ] ] }, "page" : "116-126", "publisher" : "Elsevier Ltd", "title" : "Parental acceptance and uptake of the HPV vaccine among African-Americans and Latinos in the United States: A literature review", "type" : "article-journal", "volume" : "159" }, "uris" : [ "http://www.mendeley.com/documents/?uuid=3477d589-1fc6-45ea-b93b-7c9def096991" ] } ], "mendeley" : { "formattedCitation" : "(Bryer, 2014; Galbraith et al., 2016)", "plainTextFormattedCitation" : "(Bryer, 2014; Galbraith et al., 2016)", "previouslyFormattedCitation" : "(Bryer, 2014; Galbraith et al., 2016)" }, "properties" : {  }, "schema" : "https://github.com/citation-style-language/schema/raw/master/csl-citation.json" }</w:instrText>
      </w:r>
      <w:r>
        <w:fldChar w:fldCharType="separate"/>
      </w:r>
      <w:bookmarkStart w:id="263" w:name="__Fieldmark__1642_513475976"/>
      <w:r>
        <w:rPr>
          <w:rFonts w:ascii="Calibri" w:hAnsi="Calibri" w:asciiTheme="majorHAnsi" w:hAnsiTheme="majorHAnsi"/>
          <w:lang w:val="en-GB"/>
        </w:rPr>
        <w:t>(</w:t>
      </w:r>
      <w:bookmarkStart w:id="264" w:name="__Fieldmark__4730_903549581"/>
      <w:r>
        <w:rPr>
          <w:rFonts w:ascii="Calibri" w:hAnsi="Calibri" w:asciiTheme="majorHAnsi" w:hAnsiTheme="majorHAnsi"/>
          <w:lang w:val="en-GB"/>
        </w:rPr>
        <w:t>Bryer, 2014; Galbraith et al., 2016)</w:t>
      </w:r>
      <w:r>
        <w:rPr>
          <w:rFonts w:ascii="Calibri" w:hAnsi="Calibri" w:asciiTheme="majorHAnsi" w:hAnsiTheme="majorHAnsi"/>
          <w:lang w:val="en-GB"/>
        </w:rPr>
      </w:r>
      <w:r>
        <w:fldChar w:fldCharType="end"/>
      </w:r>
      <w:bookmarkEnd w:id="263"/>
      <w:bookmarkEnd w:id="264"/>
      <w:r>
        <w:rPr>
          <w:rFonts w:ascii="Calibri" w:hAnsi="Calibri" w:asciiTheme="majorHAnsi" w:hAnsiTheme="majorHAnsi"/>
          <w:lang w:val="en-GB"/>
        </w:rPr>
        <w:t xml:space="preserve">, (3) the role of men in influencing the uptake of HPV vaccination in LMICs </w:t>
      </w:r>
      <w:r>
        <w:fldChar w:fldCharType="begin"/>
      </w:r>
      <w:r>
        <w:instrText>ADDIN CSL_CITATION { "citationItems" : [ { "id" : "ITEM-1", "itemData" : { "DOI" : "10.1007/s00038-009-0072-4", "ISBN" : "1661-8556", "ISSN" : "1420911X", "PMID" : "19771393", "abstract" : "OBJECTIVES: Better outcomes of human papillomavirus (HPV) vaccination would be expected if men become full partners and advocates in vaccination initiative. Men involvement has important implication especially within the context that they are equally responsible for spreading the virus. METHODS: Twenty-seven men took part in four focus group discussions carried out to assess men's attitudes toward the HPV vaccine between October and November 2007. RESULTS: The results revealed that men have low awareness about the newly release vaccine and minimal knowledge of HPV and its association with cervical cancer. When provided with information, most men were in favor of protecting their spouses, partners, or daughters from cervical cancer using the vaccine. They were aware of the effects of men's risk behavioral patterns on women's risk for acquiring HPV infections. Many needed assurance about the vaccine's long-term safety and efficacy. They also expressed concern over the high cost of the vaccine. Men in this study played an influential role in the vaccination decision of their child and sexual partners. Many were in favor of male vaccination for cervical cancer prevention of their spouse or partner. CONCLUSIONS: Vaccine advocacy should put special emphasis on men as sexual partners, husbands, and fathers from a gender equality and partnership perspective. The findings are useful in facilitating the development of strategies for effective immunization initiatives.", "author" : [ { "dropping-particle" : "", "family" : "Wong", "given" : "Li Ping", "non-dropping-particle" : "", "parse-names" : false, "suffix" : "" } ], "container-title" : "International Journal of Public Health", "id" : "ITEM-1", "issue" : "1", "issued" : { "date-parts" : [ [ "2010" ] ] }, "page" : "35-42", "title" : "Role of men in promoting the uptake of HPV vaccinations: Focus groups' finding from a developing country", "type" : "article-journal", "volume" : "55" }, "uris" : [ "http://www.mendeley.com/documents/?uuid=cb38af96-ffc3-45ba-82e8-c7aba462985d" ] } ], "mendeley" : { "formattedCitation" : "(Wong, 2010)", "plainTextFormattedCitation" : "(Wong, 2010)", "previouslyFormattedCitation" : "(Wong, 2010)" }, "properties" : {  }, "schema" : "https://github.com/citation-style-language/schema/raw/master/csl-citation.json" }</w:instrText>
      </w:r>
      <w:r>
        <w:fldChar w:fldCharType="separate"/>
      </w:r>
      <w:bookmarkStart w:id="265" w:name="__Fieldmark__1649_513475976"/>
      <w:r>
        <w:rPr>
          <w:rFonts w:ascii="Calibri" w:hAnsi="Calibri" w:asciiTheme="majorHAnsi" w:hAnsiTheme="majorHAnsi"/>
          <w:lang w:val="en-GB"/>
        </w:rPr>
        <w:t>(</w:t>
      </w:r>
      <w:bookmarkStart w:id="266" w:name="__Fieldmark__4743_903549581"/>
      <w:r>
        <w:rPr>
          <w:rFonts w:ascii="Calibri" w:hAnsi="Calibri" w:asciiTheme="majorHAnsi" w:hAnsiTheme="majorHAnsi"/>
          <w:lang w:val="en-GB"/>
        </w:rPr>
        <w:t>Wong, 2010)</w:t>
      </w:r>
      <w:r>
        <w:rPr>
          <w:rFonts w:ascii="Calibri" w:hAnsi="Calibri" w:asciiTheme="majorHAnsi" w:hAnsiTheme="majorHAnsi"/>
          <w:lang w:val="en-GB"/>
        </w:rPr>
      </w:r>
      <w:r>
        <w:fldChar w:fldCharType="end"/>
      </w:r>
      <w:bookmarkEnd w:id="265"/>
      <w:bookmarkEnd w:id="266"/>
      <w:r>
        <w:rPr>
          <w:rFonts w:ascii="Calibri" w:hAnsi="Calibri" w:asciiTheme="majorHAnsi" w:hAnsiTheme="majorHAnsi"/>
          <w:lang w:val="en-GB"/>
        </w:rPr>
        <w:t xml:space="preserve">, and (4) the practices and opinions about HPV vaccination among general practitioners in HICs </w:t>
      </w:r>
      <w:r>
        <w:fldChar w:fldCharType="begin"/>
      </w:r>
      <w:r>
        <w:instrText>ADDIN CSL_CITATION { "citationItems" : [ { "id" : "ITEM-1", "itemData" : { "DOI" : "10.1007/s00038-014-0555-9", "ISBN" : "1661-8556", "ISSN" : "1420911X", "PMID" : "24756880", "abstract" : "OBJECTIVES: To use both quantitative and qualitative methods to investigate the evolution of practices and opinions regarding human papillomavirus (HPV) vaccination among French general practitioners. METHODS: A cross-sectional study (self-questionnaires) was performed in 2007 and repeated in 2010 among 271 general practitioners. Semi-structured interviews were conducted on 27 voluntary participants by a sociologist and analyzed according to content analysis. RESULTS: Acceptability of HPV vaccination had increased from 2007 to 2010 (79.9 vs. 87.1%, respectively), just as the practice of HPV vaccination among 14-year-old girls (19.0 vs. 49.1%, respectively). Though about 60% reported complications associated with HPV vaccination, irrespective of year, the types of difficulties have varied: difficulties related to \"questions asked by patients\" had decreased, though concerns about side effects had remained stable. During interviews, difficulties related to \"the reason for medical consultation\" and \"the target age\" were often associated with addressing the issue of sexuality, especially when the parents were present. CONCLUSIONS: Although the high level of acceptability of HPV vaccination among general practitioners, which increased from 2007 to 2010, there remain difficulties in addressing this practice.", "author" : [ { "dropping-particle" : "", "family" : "Lasset", "given" : "Christine", "non-dropping-particle" : "", "parse-names" : false, "suffix" : "" }, { "dropping-particle" : "", "family" : "Kalecinski", "given" : "Julie", "non-dropping-particle" : "", "parse-names" : false, "suffix" : "" }, { "dropping-particle" : "", "family" : "R\u00e9gnier", "given" : "V\u00e9ronique", "non-dropping-particle" : "", "parse-names" : false, "suffix" : "" }, { "dropping-particle" : "", "family" : "Barone", "given" : "Giovanna", "non-dropping-particle" : "", "parse-names" : false, "suffix" : "" }, { "dropping-particle" : "", "family" : "Leocmach", "given" : "Yann", "non-dropping-particle" : "", "parse-names" : false, "suffix" : "" }, { "dropping-particle" : "", "family" : "Vanhems", "given" : "Philippe", "non-dropping-particle" : "", "parse-names" : false, "suffix" : "" }, { "dropping-particle" : "", "family" : "Chauvin", "given" : "Franck", "non-dropping-particle" : "", "parse-names" : false, "suffix" : "" }, { "dropping-particle" : "", "family" : "Lutringer-Magnin", "given" : "Delphine", "non-dropping-particle" : "", "parse-names" : false, "suffix" : "" } ], "container-title" : "International Journal of Public Health", "id" : "ITEM-1", "issue" : "3", "issued" : { "date-parts" : [ [ "2014" ] ] }, "page" : "519-528", "title" : "Practices and opinions regarding HPV vaccination among French general practitioners: Evaluation through two cross-sectional studies in 2007 and 2010", "type" : "article-journal", "volume" : "59" }, "uris" : [ "http://www.mendeley.com/documents/?uuid=3952790c-ab81-414e-817f-af6999cddfe7" ] } ], "mendeley" : { "formattedCitation" : "(Lasset et al., 2014)", "plainTextFormattedCitation" : "(Lasset et al., 2014)", "previouslyFormattedCitation" : "(Lasset et al., 2014)" }, "properties" : {  }, "schema" : "https://github.com/citation-style-language/schema/raw/master/csl-citation.json" }</w:instrText>
      </w:r>
      <w:r>
        <w:fldChar w:fldCharType="separate"/>
      </w:r>
      <w:bookmarkStart w:id="267" w:name="__Fieldmark__1656_513475976"/>
      <w:r>
        <w:rPr>
          <w:rFonts w:ascii="Calibri" w:hAnsi="Calibri" w:asciiTheme="majorHAnsi" w:hAnsiTheme="majorHAnsi"/>
          <w:lang w:val="en-GB"/>
        </w:rPr>
        <w:t>(</w:t>
      </w:r>
      <w:bookmarkStart w:id="268" w:name="__Fieldmark__4755_903549581"/>
      <w:r>
        <w:rPr>
          <w:rFonts w:ascii="Calibri" w:hAnsi="Calibri" w:asciiTheme="majorHAnsi" w:hAnsiTheme="majorHAnsi"/>
          <w:lang w:val="en-GB"/>
        </w:rPr>
        <w:t>Lasset et al., 2014)</w:t>
      </w:r>
      <w:r>
        <w:rPr>
          <w:rFonts w:ascii="Calibri" w:hAnsi="Calibri" w:asciiTheme="majorHAnsi" w:hAnsiTheme="majorHAnsi"/>
          <w:lang w:val="en-GB"/>
        </w:rPr>
      </w:r>
      <w:r>
        <w:fldChar w:fldCharType="end"/>
      </w:r>
      <w:bookmarkEnd w:id="267"/>
      <w:bookmarkEnd w:id="268"/>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A few studies have also evaluated the cost-effectiveness of public screening programmes in HICs and MICs </w:t>
      </w:r>
      <w:r>
        <w:fldChar w:fldCharType="begin"/>
      </w:r>
      <w:r>
        <w:instrText>ADDIN CSL_CITATION { "citationItems" : [ { "id" : "ITEM-1", "itemData" : { "DOI" : "10.1007/sl", "ISBN" : "1626008914", "ISSN" : "13100351", "PMID" : "15974422", "author" : [ { "dropping-particle" : "", "family" : "Mittendorf", "given" : "T", "non-dropping-particle" : "", "parse-names" : false, "suffix" : "" }, { "dropping-particle" : "", "family" : "Petry", "given" : "KU", "non-dropping-particle" : "", "parse-names" : false, "suffix" : "" }, { "dropping-particle" : "", "family" : "Iftner", "given" : "T", "non-dropping-particle" : "", "parse-names" : false, "suffix" : "" }, { "dropping-particle" : "", "family" : "Greiner", "given" : "W", "non-dropping-particle" : "", "parse-names" : false, "suffix" : "" }, { "dropping-particle" : "", "family" : "Schulenburg", "given" : "JM", "non-dropping-particle" : "von der", "parse-names" : false, "suffix" : "" } ], "container-title" : "The European Journal of Health Economics", "id" : "ITEM-1", "issue" : "3", "issued" : { "date-parts" : [ [ "2003" ] ] }, "page" : "209-215", "title" : "Economic evaluation of Human Papillomavirus screening in Germany", "type" : "article-journal", "volume" : "4" }, "uris" : [ "http://www.mendeley.com/documents/?uuid=8ebdfeaa-d2b5-42f7-8d32-6539ddd7ad9b" ] }, { "id" : "ITEM-2", "itemData" : { "DOI" : "10.2165/11586560-000000000-00000", "ISBN" : "1170-7690", "ISSN" : "11707690", "PMID" : "21838332", "abstract" : "BACKGROUND The Thai healthcare setting has seen patients with cervical cancer experience an increasing burden of morbidity and mortality, a stagnation in the performance of cervical screening programmes and the introduction of a vaccine for the prevention of human papillomavirus (HPV) infection. OBJECTIVE This study aims to identify the optimum mix of interventions that are cost effective, from societal and healthcare provider perspectives, for the prevention and control of cervical cancer. METHODS A computer-based Markov model of the natural history of cervical cancer was used to simulate an age-stratified cohort of women in Thailand. The strategy comparators, including both control and prevention programmes, were (i) conventional cytology screening (Pap smears); (ii) screening by visual inspection with acetic acid (VIA); and (iii) HPV-16, -18 vaccination. Input parameters (e.g. age-specific incidence of HPV infection, progression and regression of the infection, test performance of screening methods and efficacy of vaccine) were synthesized from a systematic review and meta-analysis. Costs (year 2007 values) and outcomes were evaluated separately, and compared for each combination. The screening strategies were started from the age of 30-40 years and repeated at 5- and 10-year intervals. In addition, HPV vaccines were introduced at age 15-60 years. RESULTS All of the screening strategies showed certain benefits due to a decreased number of women developing cervical cancer versus 'no intervention'. Moreover, the most cost-effective strategy from the societal perspective was the combination of VIA and sequential Pap smear (i.e., VIA every 5 years for women aged 30-45 years, followed by Pap smear every 5 years for women aged 50-60 years). This strategy was dominant, with a QALY gain of 0.01 and a total cost saving of Baht (Bt) 800, compared with doing nothing. From the societal perspective, universal HPV vaccination for girls aged 15 years without screening resulted in a QALY gain of 0.06 at an additional cost of Bt 8,800, based on the cost of Bt 15,000 for a full immunization schedule. The incremental cost-effectiveness ratio, comparing HPV vaccinations for girls aged 15 years with the current national policy of Pap smears for women aged 35-60 years every 5 years, was approximately Bt 18,1000 per QALY gained. This figure was relatively high for the Thai setting. CONCLUSIONS The results suggest that controlling cervical cancer by increasing the numbers o\u2026", "author" : [ { "dropping-particle" : "", "family" : "Praditsitthikorn", "given" : "Naiyana", "non-dropping-particle" : "", "parse-names" : false, "suffix" : "" }, { "dropping-particle" : "", "family" : "Teerawattananon", "given" : "Yot", "non-dropping-particle" : "", "parse-names" : false, "suffix" : "" }, { "dropping-particle" : "", "family" : "Tantivess", "given" : "Sripen", "non-dropping-particle" : "", "parse-names" : false, "suffix" : "" }, { "dropping-particle" : "", "family" : "Limwattananon", "given" : "Supon", "non-dropping-particle" : "", "parse-names" : false, "suffix" : "" }, { "dropping-particle" : "", "family" : "Riewpaiboon", "given" : "Arthorn", "non-dropping-particle" : "", "parse-names" : false, "suffix" : "" }, { "dropping-particle" : "", "family" : "Chichareon", "given" : "Saibua", "non-dropping-particle" : "", "parse-names" : false, "suffix" : "" }, { "dropping-particle" : "", "family" : "Ieumwananonthachai", "given" : "Nantakan", "non-dropping-particle" : "", "parse-names" : false, "suffix" : "" }, { "dropping-particle" : "", "family" : "Tangcharoensathien", "given" : "Viroj", "non-dropping-particle" : "", "parse-names" : false, "suffix" : "" } ], "container-title" : "PharmacoEconomics", "id" : "ITEM-2", "issue" : "9", "issued" : { "date-parts" : [ [ "2011" ] ] }, "page" : "781-806", "title" : "Economic evaluation of policy options for prevention and control of cervical cancer in Thailand", "type" : "article-journal", "volume" : "29" }, "uris" : [ "http://www.mendeley.com/documents/?uuid=8966125d-481d-4ffc-b7bf-e57a480649e3" ] } ], "mendeley" : { "formattedCitation" : "(Mittendorf et al., 2003; Praditsitthikorn et al., 2011)", "plainTextFormattedCitation" : "(Mittendorf et al., 2003; Praditsitthikorn et al., 2011)", "previouslyFormattedCitation" : "(Mittendorf et al., 2003; Praditsitthikorn et al., 2011)" }, "properties" : {  }, "schema" : "https://github.com/citation-style-language/schema/raw/master/csl-citation.json" }</w:instrText>
      </w:r>
      <w:r>
        <w:fldChar w:fldCharType="separate"/>
      </w:r>
      <w:bookmarkStart w:id="269" w:name="__Fieldmark__1665_513475976"/>
      <w:r>
        <w:rPr>
          <w:rFonts w:ascii="Calibri" w:hAnsi="Calibri" w:asciiTheme="majorHAnsi" w:hAnsiTheme="majorHAnsi"/>
          <w:lang w:val="en-GB"/>
        </w:rPr>
        <w:t>(</w:t>
      </w:r>
      <w:bookmarkStart w:id="270" w:name="__Fieldmark__4775_903549581"/>
      <w:r>
        <w:rPr>
          <w:rFonts w:ascii="Calibri" w:hAnsi="Calibri" w:asciiTheme="majorHAnsi" w:hAnsiTheme="majorHAnsi"/>
          <w:lang w:val="en-GB"/>
        </w:rPr>
        <w:t>Mittendorf et al., 2003; Praditsitthikorn et al., 2011)</w:t>
      </w:r>
      <w:r>
        <w:rPr>
          <w:rFonts w:ascii="Calibri" w:hAnsi="Calibri" w:asciiTheme="majorHAnsi" w:hAnsiTheme="majorHAnsi"/>
          <w:lang w:val="en-GB"/>
        </w:rPr>
      </w:r>
      <w:r>
        <w:fldChar w:fldCharType="end"/>
      </w:r>
      <w:bookmarkEnd w:id="269"/>
      <w:bookmarkEnd w:id="270"/>
      <w:r>
        <w:rPr>
          <w:rFonts w:ascii="Calibri" w:hAnsi="Calibri" w:asciiTheme="majorHAnsi" w:hAnsiTheme="majorHAnsi"/>
          <w:lang w:val="en-GB"/>
        </w:rPr>
        <w:t xml:space="preserve"> as well as in LMICs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271" w:name="__Fieldmark__1672_513475976"/>
      <w:r>
        <w:rPr>
          <w:rFonts w:ascii="Calibri" w:hAnsi="Calibri" w:asciiTheme="majorHAnsi" w:hAnsiTheme="majorHAnsi"/>
          <w:lang w:val="en-GB"/>
        </w:rPr>
        <w:t>(</w:t>
      </w:r>
      <w:bookmarkStart w:id="272" w:name="__Fieldmark__4783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271"/>
      <w:bookmarkEnd w:id="272"/>
      <w:r>
        <w:rPr>
          <w:rFonts w:ascii="Calibri" w:hAnsi="Calibri" w:asciiTheme="majorHAnsi" w:hAnsiTheme="majorHAnsi"/>
          <w:lang w:val="en-GB"/>
        </w:rPr>
        <w:t xml:space="preserve">. Importantly, economists have focused on how publicly-funded HPV vaccination programmes or private vaccination uptake may affect women’s screening preferences </w:t>
      </w:r>
      <w:r>
        <w:fldChar w:fldCharType="begin"/>
      </w:r>
      <w:r>
        <w:instrText>ADDIN CSL_CITATION { "citationItems" : [ { "id" : "ITEM-1", "itemData" : { "DOI" : "10.1080/00036846.2011.639741", "ISBN" : "0003-6846", "ISSN" : "00036846", "abstract" : "Australia was one of the first countries to introduce a publicly funded Human Papilloma Virus (HPV) vaccine program, and its introduction coincided with a media campaign to promote regular cervical screening. One issue with HPV vaccination is how it impacts on demand for screening. This study examines changes in women's screening preferences following these two interventions, using a novel approach to policy evaluation based on repeated discrete choice experiments. The study extends our previous analysis of attitudes to screening by taking advantage of the timing of the choice experiments to examine the impact of the two policy changes on determinants of screening. We find that, unexpectedly, willingness to screen is generally lower post-interventions. The reason for this trend appears to be related to HPV vaccination. We also find that interventions have minor impacts on how women value screening attributes. Our approach allows us to examine the impact of provider behaviour. A simulation demonstrates that under certain conditions, participation rates can be increased by 40% to 50% if health providers actively encourage women to undertake a cervical screening test. Reprinted by permission of Routledge, Taylor and Francis Ltd.", "author" : [ { "dropping-particle" : "", "family" : "Johar", "given" : "Meliyanni", "non-dropping-particle" : "", "parse-names" : false, "suffix" : "" }, { "dropping-particle" : "", "family" : "Fiebig", "given" : "Denzil G.", "non-dropping-particle" : "", "parse-names" : false, "suffix" : "" }, { "dropping-particle" : "", "family" : "Haas", "given" : "Marion", "non-dropping-particle" : "", "parse-names" : false, "suffix" : "" }, { "dropping-particle" : "", "family" : "Viney", "given" : "Rosalie", "non-dropping-particle" : "", "parse-names" : false, "suffix" : "" } ], "container-title" : "Applied Economics", "id" : "ITEM-1", "issue" : "14", "issued" : { "date-parts" : [ [ "2013" ] ] }, "page" : "1845-1855", "title" : "Using repeated choice experiments to evaluate the impact of policy changes on cervical screening", "type" : "article-journal", "volume" : "45" }, "uris" : [ "http://www.mendeley.com/documents/?uuid=653ff4d4-7760-4966-9977-6aad5c5e2388" ] }, { "id" : "ITEM-2", "itemData" : { "DOI" : "10.1017/CBO9781107415324.004", "ISBN" : "9788578110796", "ISSN" : "1098-6596", "PMID" : "25246403", "abstract" : "applicability for this approach.", "author" : [ { "dropping-particle" : "", "family" : "Moghtaderi", "given" : "Ali", "non-dropping-particle" : "", "parse-names" : false, "suffix" : "" }, { "dropping-particle" : "", "family" : "Dor", "given" : "Avi", "non-dropping-particle" : "", "parse-names" : false, "suffix" : "" } ], "container-title" : "NBER Working Paper Series", "id" : "ITEM-2", "issued" : { "date-parts" : [ [ "2016" ] ] }, "publisher-place" : "NBER Working Paper 22523. Cambridge, MA", "title" : "Immunization and Moral Hazard: the HPV Vaccine and Uptake of Cancer Screening", "type" : "report", "volume" : "22523" }, "uris" : [ "http://www.mendeley.com/documents/?uuid=24882fc2-e93d-4818-bd13-94173bd6f7c9" ] } ], "mendeley" : { "formattedCitation" : "(Johar et al., 2013; Moghtaderi and Dor, 2016)", "plainTextFormattedCitation" : "(Johar et al., 2013; Moghtaderi and Dor, 2016)", "previouslyFormattedCitation" : "(Johar et al., 2013; Moghtaderi and Dor, 2016)" }, "properties" : {  }, "schema" : "https://github.com/citation-style-language/schema/raw/master/csl-citation.json" }</w:instrText>
      </w:r>
      <w:r>
        <w:fldChar w:fldCharType="separate"/>
      </w:r>
      <w:bookmarkStart w:id="273" w:name="__Fieldmark__1679_513475976"/>
      <w:r>
        <w:rPr>
          <w:rFonts w:ascii="Calibri" w:hAnsi="Calibri" w:asciiTheme="majorHAnsi" w:hAnsiTheme="majorHAnsi"/>
          <w:lang w:val="en-GB"/>
        </w:rPr>
        <w:t>(</w:t>
      </w:r>
      <w:bookmarkStart w:id="274" w:name="__Fieldmark__4804_903549581"/>
      <w:r>
        <w:rPr>
          <w:rFonts w:ascii="Calibri" w:hAnsi="Calibri" w:asciiTheme="majorHAnsi" w:hAnsiTheme="majorHAnsi"/>
          <w:lang w:val="en-GB"/>
        </w:rPr>
        <w:t>Johar et al., 2013; Moghtaderi and Dor, 2016)</w:t>
      </w:r>
      <w:r>
        <w:rPr>
          <w:rFonts w:ascii="Calibri" w:hAnsi="Calibri" w:asciiTheme="majorHAnsi" w:hAnsiTheme="majorHAnsi"/>
          <w:lang w:val="en-GB"/>
        </w:rPr>
      </w:r>
      <w:r>
        <w:fldChar w:fldCharType="end"/>
      </w:r>
      <w:bookmarkEnd w:id="273"/>
      <w:bookmarkEnd w:id="274"/>
      <w:r>
        <w:rPr>
          <w:rFonts w:ascii="Calibri" w:hAnsi="Calibri" w:asciiTheme="majorHAnsi" w:hAnsiTheme="majorHAnsi"/>
          <w:lang w:val="en-GB"/>
        </w:rPr>
        <w:t xml:space="preserve">. In the economic literature this is considered as </w:t>
      </w:r>
      <w:r>
        <w:rPr>
          <w:rFonts w:ascii="Calibri" w:hAnsi="Calibri" w:asciiTheme="majorHAnsi" w:hAnsiTheme="majorHAnsi"/>
          <w:i/>
          <w:lang w:val="en-GB"/>
        </w:rPr>
        <w:t>ex-post</w:t>
      </w:r>
      <w:r>
        <w:rPr>
          <w:rFonts w:ascii="Calibri" w:hAnsi="Calibri" w:asciiTheme="majorHAnsi" w:hAnsiTheme="majorHAnsi"/>
          <w:lang w:val="en-GB"/>
        </w:rPr>
        <w:t xml:space="preserve"> and </w:t>
      </w:r>
      <w:r>
        <w:rPr>
          <w:rFonts w:ascii="Calibri" w:hAnsi="Calibri" w:asciiTheme="majorHAnsi" w:hAnsiTheme="majorHAnsi"/>
          <w:i/>
          <w:lang w:val="en-GB"/>
        </w:rPr>
        <w:t>ex-ante</w:t>
      </w:r>
      <w:r>
        <w:rPr>
          <w:rFonts w:ascii="Calibri" w:hAnsi="Calibri" w:asciiTheme="majorHAnsi" w:hAnsiTheme="majorHAnsi"/>
          <w:lang w:val="en-GB"/>
        </w:rPr>
        <w:t xml:space="preserve"> moral hazard </w:t>
      </w:r>
      <w:r>
        <w:fldChar w:fldCharType="begin"/>
      </w:r>
      <w:r>
        <w:instrText>ADDIN CSL_CITATION { "citationItems" : [ { "id" : "ITEM-1", "itemData" : { "DOI" : "10.1007/s10754-009-9056-4", "ISBN" : "1075400990564", "ISSN" : "13896563", "PMID" : "19277859", "abstract" : "Basic economic theory suggests that health insurance coverage may cause a reduction in prevention activities, but empirical studies have yet to provide much evidence to support this prediction. However, in other insurance contexts that involve adverse health events, evidence of ex ante moral hazard is more consistent. In this paper, we extend the analysis of the effect of health insurance on health behaviors by allowing for the possibility that health insurance has a direct (ex ante moral hazard) and indirect effect on health behaviors. The indirect effect works through changes in health promotion information and the probability of illness that may be a byproduct of insurance-induced greater contact with medical professionals. We identify these two effects and in doing so identify the pure ex ante moral hazard effect. This study exploits the plausibly exogenous variation in health insurance as a result of obtaining Medicare coverage at age 65. We find evidence that obtaining health insurance reduces prevention and increases unhealthy behaviors among elderly men. We also find evidence that physician counseling is successful in changing health behaviors.", "author" : [ { "dropping-particle" : "", "family" : "Dave", "given" : "Dhaval", "non-dropping-particle" : "", "parse-names" : false, "suffix" : "" }, { "dropping-particle" : "", "family" : "Kaestner", "given" : "Robert", "non-dropping-particle" : "", "parse-names" : false, "suffix" : "" } ], "container-title" : "International Journal of Health Care Finance and Economics", "id" : "ITEM-1", "issue" : "4", "issued" : { "date-parts" : [ [ "2009" ] ] }, "page" : "367-390", "title" : "Health insurance and ex ante moral hazard: Evidence from Medicare", "type" : "article-journal", "volume" : "9" }, "uris" : [ "http://www.mendeley.com/documents/?uuid=46acda8b-c89e-4117-9fa5-da6f2874c554" ] } ], "mendeley" : { "formattedCitation" : "(Dave and Kaestner, 2009)", "plainTextFormattedCitation" : "(Dave and Kaestner, 2009)", "previouslyFormattedCitation" : "(Dave and Kaestner, 2009)" }, "properties" : {  }, "schema" : "https://github.com/citation-style-language/schema/raw/master/csl-citation.json" }</w:instrText>
      </w:r>
      <w:r>
        <w:fldChar w:fldCharType="separate"/>
      </w:r>
      <w:bookmarkStart w:id="275" w:name="__Fieldmark__1690_513475976"/>
      <w:r>
        <w:rPr>
          <w:rFonts w:ascii="Calibri" w:hAnsi="Calibri" w:asciiTheme="majorHAnsi" w:hAnsiTheme="majorHAnsi"/>
          <w:lang w:val="en-GB"/>
        </w:rPr>
        <w:t>(</w:t>
      </w:r>
      <w:bookmarkStart w:id="276" w:name="__Fieldmark__4815_903549581"/>
      <w:r>
        <w:rPr>
          <w:rFonts w:ascii="Calibri" w:hAnsi="Calibri" w:asciiTheme="majorHAnsi" w:hAnsiTheme="majorHAnsi"/>
          <w:lang w:val="en-GB"/>
        </w:rPr>
        <w:t>Dave and Kaestner, 2009)</w:t>
      </w:r>
      <w:r>
        <w:rPr>
          <w:rFonts w:ascii="Calibri" w:hAnsi="Calibri" w:asciiTheme="majorHAnsi" w:hAnsiTheme="majorHAnsi"/>
          <w:lang w:val="en-GB"/>
        </w:rPr>
      </w:r>
      <w:r>
        <w:fldChar w:fldCharType="end"/>
      </w:r>
      <w:bookmarkEnd w:id="275"/>
      <w:bookmarkEnd w:id="276"/>
      <w:r>
        <w:rPr>
          <w:rFonts w:ascii="Calibri" w:hAnsi="Calibri" w:asciiTheme="majorHAnsi" w:hAnsiTheme="majorHAnsi"/>
          <w:lang w:val="en-GB"/>
        </w:rPr>
        <w:t>, in which health insurance coverage, such as publicly-funded HPV vaccination programmes, may incentivise consumers to increase healthcare expenditure due to disease awareness (</w:t>
      </w:r>
      <w:r>
        <w:rPr>
          <w:rFonts w:ascii="Calibri" w:hAnsi="Calibri" w:asciiTheme="majorHAnsi" w:hAnsiTheme="majorHAnsi"/>
          <w:i/>
          <w:lang w:val="en-GB"/>
        </w:rPr>
        <w:t>ex-post</w:t>
      </w:r>
      <w:r>
        <w:rPr>
          <w:rFonts w:ascii="Calibri" w:hAnsi="Calibri" w:asciiTheme="majorHAnsi" w:hAnsiTheme="majorHAnsi"/>
          <w:lang w:val="en-GB"/>
        </w:rPr>
        <w:t xml:space="preserve"> moral hazard) or to adopt a more risky behaviour due to a health protective perception (</w:t>
      </w:r>
      <w:r>
        <w:rPr>
          <w:rFonts w:ascii="Calibri" w:hAnsi="Calibri" w:asciiTheme="majorHAnsi" w:hAnsiTheme="majorHAnsi"/>
          <w:i/>
          <w:lang w:val="en-GB"/>
        </w:rPr>
        <w:t>ex-ante</w:t>
      </w:r>
      <w:r>
        <w:rPr>
          <w:rFonts w:ascii="Calibri" w:hAnsi="Calibri" w:asciiTheme="majorHAnsi" w:hAnsiTheme="majorHAnsi"/>
          <w:lang w:val="en-GB"/>
        </w:rPr>
        <w:t xml:space="preserve"> moral hazard), reducing their likelihood to participate in pre-cancer testing.</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7" w:name="_Toc382138187"/>
      <w:bookmarkEnd w:id="277"/>
      <w:r>
        <w:rPr>
          <w:rFonts w:ascii="Calibri" w:hAnsi="Calibri" w:asciiTheme="majorHAnsi" w:hAnsiTheme="majorHAnsi"/>
        </w:rPr>
        <w:t>II.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b/>
          <w:b/>
          <w:sz w:val="26"/>
          <w:szCs w:val="26"/>
          <w:lang w:val="en-GB"/>
        </w:rPr>
      </w:pPr>
      <w:r>
        <w:rPr>
          <w:rFonts w:asciiTheme="majorHAnsi" w:hAnsiTheme="majorHAnsi" w:ascii="Calibri" w:hAnsi="Calibri"/>
          <w:b/>
          <w:sz w:val="26"/>
          <w:szCs w:val="26"/>
          <w:lang w:val="en-GB"/>
        </w:rPr>
      </w:r>
      <w:r>
        <w:br w:type="page"/>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1. General objective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general objective of this thesis is to </w:t>
      </w:r>
      <w:del w:id="165" w:author="Unknown Author" w:date="2018-04-12T11:20:00Z">
        <w:r>
          <w:rPr>
            <w:rFonts w:ascii="Calibri" w:hAnsi="Calibri" w:asciiTheme="majorHAnsi" w:hAnsiTheme="majorHAnsi"/>
            <w:lang w:val="en-GB"/>
          </w:rPr>
          <w:delText>contribute</w:delText>
        </w:r>
      </w:del>
      <w:ins w:id="166" w:author="Unknown Author" w:date="2018-04-12T11:20:00Z">
        <w:r>
          <w:rPr>
            <w:rFonts w:ascii="Calibri" w:hAnsi="Calibri" w:asciiTheme="majorHAnsi" w:hAnsiTheme="majorHAnsi"/>
            <w:lang w:val="en-GB"/>
          </w:rPr>
          <w:t>identify</w:t>
        </w:r>
      </w:ins>
      <w:r>
        <w:rPr>
          <w:rFonts w:ascii="Calibri" w:hAnsi="Calibri" w:asciiTheme="majorHAnsi" w:hAnsiTheme="majorHAnsi"/>
          <w:lang w:val="en-GB"/>
        </w:rPr>
        <w:t xml:space="preserve">, through </w:t>
      </w:r>
      <w:del w:id="167" w:author="Unknown Author" w:date="2018-04-12T11:19: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economic analysis, </w:t>
      </w:r>
      <w:del w:id="168" w:author="Unknown Author" w:date="2018-04-12T11:20:00Z">
        <w:r>
          <w:rPr>
            <w:rFonts w:ascii="Calibri" w:hAnsi="Calibri" w:asciiTheme="majorHAnsi" w:hAnsiTheme="majorHAnsi"/>
            <w:lang w:val="en-GB"/>
          </w:rPr>
          <w:delText xml:space="preserve">to identify </w:delText>
        </w:r>
      </w:del>
      <w:r>
        <w:rPr>
          <w:rFonts w:ascii="Calibri" w:hAnsi="Calibri" w:asciiTheme="majorHAnsi" w:hAnsiTheme="majorHAnsi"/>
          <w:lang w:val="en-GB"/>
        </w:rPr>
        <w:t xml:space="preserve">barriers to access and </w:t>
      </w:r>
      <w:ins w:id="169" w:author="Unknown Author" w:date="2018-04-12T11:20:00Z">
        <w:r>
          <w:rPr>
            <w:rFonts w:ascii="Calibri" w:hAnsi="Calibri" w:asciiTheme="majorHAnsi" w:hAnsiTheme="majorHAnsi"/>
            <w:lang w:val="en-GB"/>
          </w:rPr>
          <w:t xml:space="preserve">to </w:t>
        </w:r>
      </w:ins>
      <w:r>
        <w:rPr>
          <w:rFonts w:ascii="Calibri" w:hAnsi="Calibri" w:asciiTheme="majorHAnsi" w:hAnsiTheme="majorHAnsi"/>
          <w:lang w:val="en-GB"/>
        </w:rPr>
        <w:t>draw potential solutions for improving access to healthcare for visceral leishmaniasis, malaria and HPV in children and adolescent women from selected countries of the African continent.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6"/>
          <w:szCs w:val="26"/>
          <w:lang w:val="en-GB"/>
        </w:rPr>
      </w:pPr>
      <w:r>
        <w:rPr>
          <w:rFonts w:ascii="Calibri" w:hAnsi="Calibri" w:asciiTheme="majorHAnsi" w:hAnsiTheme="majorHAnsi"/>
          <w:b/>
          <w:sz w:val="26"/>
          <w:szCs w:val="26"/>
          <w:lang w:val="en-GB"/>
        </w:rPr>
        <w:t>2. Specific objectives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In addition to reviewing the contribution of economics to global health, the</w:t>
      </w:r>
      <w:ins w:id="170" w:author="Unknown Author" w:date="2018-04-12T11:20:00Z">
        <w:r>
          <w:rPr>
            <w:rFonts w:ascii="Calibri" w:hAnsi="Calibri" w:asciiTheme="majorHAnsi" w:hAnsiTheme="majorHAnsi"/>
            <w:lang w:val="en-GB"/>
          </w:rPr>
          <w:t xml:space="preserve"> </w:t>
        </w:r>
      </w:ins>
      <w:ins w:id="171" w:author="Unknown Author" w:date="2018-04-12T11:20:00Z">
        <w:r>
          <w:rPr>
            <w:rFonts w:ascii="Calibri" w:hAnsi="Calibri" w:asciiTheme="majorHAnsi" w:hAnsiTheme="majorHAnsi"/>
            <w:lang w:val="en-GB"/>
          </w:rPr>
          <w:t>following</w:t>
        </w:r>
      </w:ins>
      <w:r>
        <w:rPr>
          <w:rFonts w:ascii="Calibri" w:hAnsi="Calibri" w:asciiTheme="majorHAnsi" w:hAnsiTheme="majorHAnsi"/>
          <w:lang w:val="en-GB"/>
        </w:rPr>
        <w:t xml:space="preserve"> objectives are specific to each of three infectious diseases analysed in this thesis: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A. Visceral Leishmaniasis (VL)</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describe the clinical practices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measure the health provider costs associated with the clinical management of paediatric VL patients in Morocco.</w:t>
      </w:r>
    </w:p>
    <w:p>
      <w:pPr>
        <w:pStyle w:val="ListParagraph"/>
        <w:numPr>
          <w:ilvl w:val="0"/>
          <w:numId w:val="1"/>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cost-effectiveness of RDTs to diagnose and L-AmB regimens to treat paediatric VL in Morocco in comparison with current practices, consisting in a diagnosis based on BM aspiration and treatment with antimonials.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 Malaria</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theoretical willingness-to-pay and ability-to-pay for paediatric AL in Manhiça District (Mozambique) among patients receiving antimalarial medicines free of charge at public health facilities.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gap between willingness- and ability-to-pay and international and local private prices.</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estimate the determinants of the demand for AL in Manhiça district.</w:t>
      </w:r>
    </w:p>
    <w:p>
      <w:pPr>
        <w:pStyle w:val="ListParagraph"/>
        <w:numPr>
          <w:ilvl w:val="0"/>
          <w:numId w:val="2"/>
        </w:numPr>
        <w:spacing w:lineRule="auto" w:line="360"/>
        <w:rPr>
          <w:rFonts w:ascii="Calibri" w:hAnsi="Calibri" w:asciiTheme="majorHAnsi" w:hAnsiTheme="majorHAnsi"/>
          <w:lang w:val="en-GB"/>
        </w:rPr>
      </w:pPr>
      <w:r>
        <w:rPr>
          <w:rFonts w:ascii="Calibri" w:hAnsi="Calibri" w:asciiTheme="majorHAnsi" w:hAnsiTheme="majorHAnsi"/>
          <w:lang w:val="en-GB"/>
        </w:rPr>
        <w:t>To evaluate the welfare of the market for AL, by comparing the demand and supply for AL in Manhiça District.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C. Human papillomavirus (HPV)</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estimate the costs associated with the demonstration programme of HPV vaccination in Manhiça district.</w:t>
      </w:r>
    </w:p>
    <w:p>
      <w:pPr>
        <w:pStyle w:val="ListParagraph"/>
        <w:numPr>
          <w:ilvl w:val="0"/>
          <w:numId w:val="3"/>
        </w:numPr>
        <w:spacing w:lineRule="auto" w:line="360"/>
        <w:rPr>
          <w:rFonts w:ascii="Calibri" w:hAnsi="Calibri" w:asciiTheme="majorHAnsi" w:hAnsiTheme="majorHAnsi"/>
          <w:lang w:val="en-GB"/>
        </w:rPr>
      </w:pPr>
      <w:r>
        <w:rPr>
          <w:rFonts w:ascii="Calibri" w:hAnsi="Calibri" w:asciiTheme="majorHAnsi" w:hAnsiTheme="majorHAnsi"/>
          <w:lang w:val="en-GB"/>
        </w:rPr>
        <w:t>To elaborate an alternative scenario for future implementation.</w:t>
      </w:r>
    </w:p>
    <w:p>
      <w:pPr>
        <w:pStyle w:val="Normal"/>
        <w:rPr>
          <w:rFonts w:ascii="Calibri" w:hAnsi="Calibri" w:asciiTheme="majorHAnsi" w:hAnsiTheme="majorHAnsi"/>
          <w:lang w:val="en-GB"/>
        </w:rPr>
      </w:pPr>
      <w:r>
        <w:rPr>
          <w:rFonts w:ascii="Calibri" w:hAnsi="Calibri" w:asciiTheme="majorHAnsi" w:hAnsiTheme="majorHAnsi"/>
          <w:lang w:val="en-GB"/>
        </w:rPr>
        <w:t xml:space="preserve"> </w:t>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78" w:name="_Toc382138188"/>
      <w:bookmarkEnd w:id="278"/>
      <w:r>
        <w:rPr>
          <w:rFonts w:ascii="Calibri" w:hAnsi="Calibri" w:asciiTheme="majorHAnsi" w:hAnsiTheme="majorHAnsi"/>
        </w:rPr>
        <w:t>III. Materials and methods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pPr>
      <w:r>
        <w:rPr>
          <w:rFonts w:ascii="Calibri" w:hAnsi="Calibri" w:asciiTheme="majorHAnsi" w:hAnsiTheme="majorHAnsi"/>
          <w:lang w:val="en-GB"/>
        </w:rPr>
        <w:t xml:space="preserve">This thesis is based on </w:t>
      </w:r>
      <w:del w:id="172" w:author="Unknown Author" w:date="2018-04-12T11:21:00Z">
        <w:r>
          <w:rPr>
            <w:rFonts w:ascii="Calibri" w:hAnsi="Calibri" w:asciiTheme="majorHAnsi" w:hAnsiTheme="majorHAnsi"/>
            <w:lang w:val="en-GB"/>
          </w:rPr>
          <w:delText xml:space="preserve">the </w:delText>
        </w:r>
      </w:del>
      <w:r>
        <w:rPr>
          <w:rFonts w:ascii="Calibri" w:hAnsi="Calibri" w:asciiTheme="majorHAnsi" w:hAnsiTheme="majorHAnsi"/>
          <w:lang w:val="en-GB"/>
        </w:rPr>
        <w:t xml:space="preserve">work </w:t>
      </w:r>
      <w:del w:id="173" w:author="Unknown Author" w:date="2018-04-12T11:21:00Z">
        <w:r>
          <w:rPr>
            <w:rFonts w:ascii="Calibri" w:hAnsi="Calibri" w:asciiTheme="majorHAnsi" w:hAnsiTheme="majorHAnsi"/>
            <w:lang w:val="en-GB"/>
          </w:rPr>
          <w:delText xml:space="preserve">undertook </w:delText>
        </w:r>
      </w:del>
      <w:r>
        <w:rPr>
          <w:rFonts w:ascii="Calibri" w:hAnsi="Calibri" w:asciiTheme="majorHAnsi" w:hAnsiTheme="majorHAnsi"/>
          <w:lang w:val="en-GB"/>
        </w:rPr>
        <w:t xml:space="preserve">at the Barcelona Institute for Global Health (ISGlobal) in collaboration with the Sidi Mohamed Ben Abdillah University in Fez (Morocco) for the VL studies, and the Centro de Investigação em Saúde de Manhiça (CISM) in Mozambique for the studies related to malaria and HPV.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compiled hereafter received financial support from different international organisations: the Thrasher Research Fund, Medicines for Malaria Venture (MMV) and GAVI the Vaccine Alliance. The PhD candidate’s salary was covered by funds from GlaxoSmithKline (GSK), the Spanish Agency for International Cooperation and Development (AECID) and the United States Agency for International Development (USAID).</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79" w:name="_Toc382138189"/>
      <w:bookmarkEnd w:id="279"/>
      <w:r>
        <w:rPr>
          <w:lang w:val="en-GB"/>
        </w:rPr>
        <w:t>1. Study areas</w:t>
      </w:r>
    </w:p>
    <w:p>
      <w:pPr>
        <w:pStyle w:val="Normal"/>
        <w:spacing w:lineRule="auto" w:line="360"/>
        <w:rPr/>
      </w:pPr>
      <w:r>
        <w:rPr>
          <w:rFonts w:ascii="Calibri" w:hAnsi="Calibri" w:asciiTheme="majorHAnsi" w:hAnsiTheme="majorHAnsi"/>
          <w:lang w:val="en-GB"/>
        </w:rPr>
        <w:t xml:space="preserve">ISGlobal was the coordinating institution of the VL studies, in collaboration with the University in Fez, Northern Morocco. Morocco is classified as a lower-MIC with a GDP/capita of 2,832.40 US$ in 2016, ranking 120th worldwide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0" w:name="__Fieldmark__1734_513475976"/>
      <w:r>
        <w:rPr>
          <w:rFonts w:ascii="Calibri" w:hAnsi="Calibri" w:asciiTheme="majorHAnsi" w:hAnsiTheme="majorHAnsi"/>
          <w:lang w:val="en-GB"/>
        </w:rPr>
        <w:t>(</w:t>
      </w:r>
      <w:bookmarkStart w:id="281" w:name="__Fieldmark__5011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0"/>
      <w:bookmarkEnd w:id="281"/>
      <w:r>
        <w:rPr>
          <w:rFonts w:ascii="Calibri" w:hAnsi="Calibri" w:asciiTheme="majorHAnsi" w:hAnsiTheme="majorHAnsi"/>
          <w:lang w:val="en-GB"/>
        </w:rPr>
        <w:t xml:space="preserve">, a medium human development (HDI) of 0.647, ranking 123th, and a life expectancy of 74.3 years in 2016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2" w:name="__Fieldmark__1741_513475976"/>
      <w:r>
        <w:rPr>
          <w:rFonts w:ascii="Calibri" w:hAnsi="Calibri" w:asciiTheme="majorHAnsi" w:hAnsiTheme="majorHAnsi"/>
          <w:lang w:val="en-GB"/>
        </w:rPr>
        <w:t>(</w:t>
      </w:r>
      <w:bookmarkStart w:id="283" w:name="__Fieldmark__5025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2"/>
      <w:bookmarkEnd w:id="283"/>
      <w:r>
        <w:rPr>
          <w:rFonts w:ascii="Calibri" w:hAnsi="Calibri" w:asciiTheme="majorHAnsi" w:hAnsiTheme="majorHAnsi"/>
          <w:lang w:val="en-GB"/>
        </w:rPr>
        <w:t xml:space="preserve"> and a GINI index of 0.409 in 2015, indicating an uneven distribution of income in the country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84" w:name="__Fieldmark__1748_513475976"/>
      <w:r>
        <w:rPr>
          <w:rFonts w:ascii="Calibri" w:hAnsi="Calibri" w:asciiTheme="majorHAnsi" w:hAnsiTheme="majorHAnsi"/>
          <w:lang w:val="en-GB"/>
        </w:rPr>
        <w:t>(</w:t>
      </w:r>
      <w:bookmarkStart w:id="285" w:name="__Fieldmark__5035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84"/>
      <w:bookmarkEnd w:id="285"/>
      <w:r>
        <w:rPr>
          <w:rFonts w:ascii="Calibri" w:hAnsi="Calibri" w:asciiTheme="majorHAnsi" w:hAnsiTheme="majorHAnsi"/>
          <w:lang w:val="en-GB"/>
        </w:rPr>
        <w:t>. The team of epidemiologists at the University in Fez supported study design, data interpretation and demographic, clinical and cost data collection from the nearby University Hospital, as well as from the other provincial and regional hospitals in Northern Morocco (</w:t>
      </w:r>
      <w:r>
        <w:rPr>
          <w:rFonts w:ascii="Calibri" w:hAnsi="Calibri" w:asciiTheme="majorHAnsi" w:hAnsiTheme="majorHAnsi"/>
          <w:b/>
          <w:lang w:val="en-GB"/>
        </w:rPr>
        <w:t>figure 7</w:t>
      </w:r>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7. Map of Morocco and its territorial division (year 2015)</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4445635" cy="456882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10"/>
                          <a:stretch>
                            <a:fillRect/>
                          </a:stretch>
                        </pic:blipFill>
                        <pic:spPr bwMode="auto">
                          <a:xfrm>
                            <a:off x="0" y="0"/>
                            <a:ext cx="4445635" cy="4568825"/>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i/>
                <w: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Regional Center of Investment Fes-Mecknes. Available from: http://fesmeknesinvest.ma/en/presentation_region [Accessed 21th February 2018]</w:t>
            </w:r>
          </w:p>
        </w:tc>
      </w:tr>
    </w:tbl>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Malaria and HPV studies were conducted at the CISM, in Manhiça district, Southern Mozambique. Mozambique is one of the poorest countries in the world with a GDP/capita of 382.10 US$ in 2016 </w:t>
      </w:r>
      <w:r>
        <w:fldChar w:fldCharType="begin"/>
      </w:r>
      <w:r>
        <w:instrText>ADDIN CSL_CITATION { "citationItems" : [ { "id" : "ITEM-1", "itemData" : { "URL" : "https://data.worldbank.org/indicator/NY.GDP.PCAP.CD", "accessed" : { "date-parts" : [ [ "2017", "11", "14" ] ] }, "author" : [ { "dropping-particle" : "", "family" : "The World Bank", "given" : "", "non-dropping-particle" : "", "parse-names" : false, "suffix" : "" } ], "id" : "ITEM-1", "issued" : { "date-parts" : [ [ "2017" ] ] }, "title" : "GDP per capita (current US$) 2016", "type" : "webpage" }, "uris" : [ "http://www.mendeley.com/documents/?uuid=73298b13-47d2-45d8-88c0-5a04d7213930" ] } ], "mendeley" : { "formattedCitation" : "(The World Bank, 2017a)", "plainTextFormattedCitation" : "(The World Bank, 2017a)", "previouslyFormattedCitation" : "(The World Bank, 2017a)" }, "properties" : {  }, "schema" : "https://github.com/citation-style-language/schema/raw/master/csl-citation.json" }</w:instrText>
      </w:r>
      <w:r>
        <w:fldChar w:fldCharType="separate"/>
      </w:r>
      <w:bookmarkStart w:id="286" w:name="__Fieldmark__1770_513475976"/>
      <w:r>
        <w:rPr>
          <w:rFonts w:ascii="Calibri" w:hAnsi="Calibri" w:asciiTheme="majorHAnsi" w:hAnsiTheme="majorHAnsi"/>
          <w:lang w:val="en-GB"/>
        </w:rPr>
        <w:t>(</w:t>
      </w:r>
      <w:bookmarkStart w:id="287" w:name="__Fieldmark__5072_903549581"/>
      <w:r>
        <w:rPr>
          <w:rFonts w:ascii="Calibri" w:hAnsi="Calibri" w:asciiTheme="majorHAnsi" w:hAnsiTheme="majorHAnsi"/>
          <w:lang w:val="en-GB"/>
        </w:rPr>
        <w:t>The World Bank, 2017a)</w:t>
      </w:r>
      <w:r>
        <w:rPr>
          <w:rFonts w:ascii="Calibri" w:hAnsi="Calibri" w:asciiTheme="majorHAnsi" w:hAnsiTheme="majorHAnsi"/>
          <w:lang w:val="en-GB"/>
        </w:rPr>
      </w:r>
      <w:r>
        <w:fldChar w:fldCharType="end"/>
      </w:r>
      <w:bookmarkEnd w:id="286"/>
      <w:bookmarkEnd w:id="287"/>
      <w:r>
        <w:rPr>
          <w:rFonts w:ascii="Calibri" w:hAnsi="Calibri" w:asciiTheme="majorHAnsi" w:hAnsiTheme="majorHAnsi"/>
          <w:lang w:val="en-GB"/>
        </w:rPr>
        <w:t xml:space="preserve">, low human development (HDI of 0.418) and low life expectancy at birth (55.5 years in 2015) </w:t>
      </w:r>
      <w:r>
        <w:fldChar w:fldCharType="begin"/>
      </w:r>
      <w:r>
        <w:instrText>ADDIN CSL_CITATION { "citationItems" : [ { "id" : "ITEM-1", "itemData" : { "DOI" : "eISBN: 978-92-1-060036-1", "ISBN" : "9789997363985", "ISSN" : "09694501", "abstract" : "The 2016 Human Development Report is the latest in the series of global Human Development Reports published by the United Nations Development Programme (UNDP) since 1990 as independent, analytically and empirically grounded discussions of major development issues, trends and policies. Additional resources related to the 2016 Human Development Report can be found online at http://hdr.undp.org, including digital versions of the Report and translations of the overview in more than 20 languages, an interactive web version of the Report, a set of background papers and think pieces commissioned for the Report, interactive maps and databases of human development indicators, full explanations of the sources and methodologies used in the Report\u2019s composite indices, country profiles and other background materials as well as previous global, regional and national Human Development Reports. The 2016 Report and the best of Human Development Report Office content, including publications, data, HDI rankings and related information can also be accessed on Apple iOS and Android smartphones via a new and easy to use mobile app. The cover reflects the basic message that human development is for everyone\u2014in the human development journey no one can be left out. Using an abstract approach, the cover conveys three fundamental points. First, the upward moving waves in blue and whites represent the road ahead that humanity has to cover to ensure universal human development. The different curvature of the waves alerts us that some paths will be more difficult and sailing along those paths will not be easy, but multiple options are open. Second, in this journey some people will be ahead, but some will be lagging behind. Those lagging behind will need helping hands from those who are ahead. The gestures of the two hands reflect that spirit of human solidarity. Third, the two colours\u2014 green and blue\u2014and the hands at the top\u2014convey that universal human development requires a balance among planet, peace and people.", "author" : [ { "dropping-particle" : "", "family" : "United Nations Development Programme", "given" : "", "non-dropping-particle" : "", "parse-names" : false, "suffix" : "" } ], "container-title" : "United Nations Development Programme", "id" : "ITEM-1", "issued" : { "date-parts" : [ [ "2016" ] ] }, "number-of-pages" : "193", "title" : "Human Development Report 2016", "type" : "book" }, "uris" : [ "http://www.mendeley.com/documents/?uuid=b34c137c-a385-4e84-b835-d55afcc87f35" ] } ], "mendeley" : { "formattedCitation" : "(United Nations Development Programme, 2016)", "plainTextFormattedCitation" : "(United Nations Development Programme, 2016)", "previouslyFormattedCitation" : "(United Nations Development Programme, 2016)" }, "properties" : {  }, "schema" : "https://github.com/citation-style-language/schema/raw/master/csl-citation.json" }</w:instrText>
      </w:r>
      <w:r>
        <w:fldChar w:fldCharType="separate"/>
      </w:r>
      <w:bookmarkStart w:id="288" w:name="__Fieldmark__1777_513475976"/>
      <w:r>
        <w:rPr>
          <w:rFonts w:ascii="Calibri" w:hAnsi="Calibri" w:asciiTheme="majorHAnsi" w:hAnsiTheme="majorHAnsi"/>
          <w:lang w:val="en-GB"/>
        </w:rPr>
        <w:t>(</w:t>
      </w:r>
      <w:bookmarkStart w:id="289" w:name="__Fieldmark__5079_903549581"/>
      <w:r>
        <w:rPr>
          <w:rFonts w:ascii="Calibri" w:hAnsi="Calibri" w:asciiTheme="majorHAnsi" w:hAnsiTheme="majorHAnsi"/>
          <w:lang w:val="en-GB"/>
        </w:rPr>
        <w:t>United Nations Development Programme, 2016)</w:t>
      </w:r>
      <w:r>
        <w:rPr>
          <w:rFonts w:ascii="Calibri" w:hAnsi="Calibri" w:asciiTheme="majorHAnsi" w:hAnsiTheme="majorHAnsi"/>
          <w:lang w:val="en-GB"/>
        </w:rPr>
      </w:r>
      <w:r>
        <w:fldChar w:fldCharType="end"/>
      </w:r>
      <w:bookmarkEnd w:id="288"/>
      <w:bookmarkEnd w:id="289"/>
      <w:r>
        <w:rPr>
          <w:rFonts w:ascii="Calibri" w:hAnsi="Calibri" w:asciiTheme="majorHAnsi" w:hAnsiTheme="majorHAnsi"/>
          <w:lang w:val="en-GB"/>
        </w:rPr>
        <w:t xml:space="preserve">, and a GINI index of 0.456 in 2015, pointing to an unequal distribution of income among Mozambican residents </w:t>
      </w:r>
      <w:r>
        <w:fldChar w:fldCharType="begin"/>
      </w:r>
      <w:r>
        <w:instrText>ADDIN CSL_CITATION { "citationItems" : [ { "id" : "ITEM-1", "itemData" : { "URL" : "https://data.worldbank.org/indicator/SI.POV.GINI/", "accessed" : { "date-parts" : [ [ "2017", "11", "14" ] ] }, "author" : [ { "dropping-particle" : "", "family" : "The World Bank", "given" : "", "non-dropping-particle" : "", "parse-names" : false, "suffix" : "" } ], "id" : "ITEM-1", "issued" : { "date-parts" : [ [ "2017" ] ] }, "title" : "GINI Index", "type" : "webpage" }, "uris" : [ "http://www.mendeley.com/documents/?uuid=6dc431c1-ce72-4b46-a096-0392d5cb4e10" ] } ], "mendeley" : { "formattedCitation" : "(The World Bank, 2017b)", "plainTextFormattedCitation" : "(The World Bank, 2017b)", "previouslyFormattedCitation" : "(The World Bank, 2017b)" }, "properties" : {  }, "schema" : "https://github.com/citation-style-language/schema/raw/master/csl-citation.json" }</w:instrText>
      </w:r>
      <w:r>
        <w:fldChar w:fldCharType="separate"/>
      </w:r>
      <w:bookmarkStart w:id="290" w:name="__Fieldmark__1784_513475976"/>
      <w:r>
        <w:rPr>
          <w:rFonts w:ascii="Calibri" w:hAnsi="Calibri" w:asciiTheme="majorHAnsi" w:hAnsiTheme="majorHAnsi"/>
          <w:lang w:val="en-GB"/>
        </w:rPr>
        <w:t>(</w:t>
      </w:r>
      <w:bookmarkStart w:id="291" w:name="__Fieldmark__5092_903549581"/>
      <w:r>
        <w:rPr>
          <w:rFonts w:ascii="Calibri" w:hAnsi="Calibri" w:asciiTheme="majorHAnsi" w:hAnsiTheme="majorHAnsi"/>
          <w:lang w:val="en-GB"/>
        </w:rPr>
        <w:t>The World Bank, 2017b)</w:t>
      </w:r>
      <w:r>
        <w:rPr>
          <w:rFonts w:ascii="Calibri" w:hAnsi="Calibri" w:asciiTheme="majorHAnsi" w:hAnsiTheme="majorHAnsi"/>
          <w:lang w:val="en-GB"/>
        </w:rPr>
      </w:r>
      <w:r>
        <w:fldChar w:fldCharType="end"/>
      </w:r>
      <w:bookmarkEnd w:id="290"/>
      <w:bookmarkEnd w:id="291"/>
      <w:r>
        <w:rPr>
          <w:rFonts w:ascii="Calibri" w:hAnsi="Calibri" w:asciiTheme="majorHAnsi" w:hAnsiTheme="majorHAnsi"/>
          <w:lang w:val="en-GB"/>
        </w:rPr>
        <w:t>. Manhiça is a semi-rural district of approximately 180,000 inhabitants mainly living from subsistence farming and working on commercial activities and sugar and fruit processing. The CISM research agenda focuses on some of the most threatening public health issues in the country: malaria, HIV, tuberculosis or diarrhoeas diseases. The CISM runs a Health and Demographic Surveillance System (HDSS) for demographic events and migrations that covers the whole district’s population (</w:t>
      </w:r>
      <w:r>
        <w:rPr>
          <w:rFonts w:ascii="Calibri" w:hAnsi="Calibri" w:asciiTheme="majorHAnsi" w:hAnsiTheme="majorHAnsi"/>
          <w:b/>
          <w:lang w:val="en-GB"/>
        </w:rPr>
        <w:t>figure 8</w:t>
      </w:r>
      <w:r>
        <w:rPr>
          <w:rFonts w:ascii="Calibri" w:hAnsi="Calibri" w:asciiTheme="majorHAnsi" w:hAnsiTheme="majorHAnsi"/>
          <w:lang w:val="en-GB"/>
        </w:rPr>
        <w:t xml:space="preserve">)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"(Sacoor et al., 2013)", "plainTextFormattedCitation" : "(Sacoor et al., 2013)", "previouslyFormattedCitation" : "(Sacoor et al., 2013)" }, "properties" : {  }, "schema" : "https://github.com/citation-style-language/schema/raw/master/csl-citation.json" }</w:instrText>
      </w:r>
      <w:r>
        <w:fldChar w:fldCharType="separate"/>
      </w:r>
      <w:bookmarkStart w:id="292" w:name="__Fieldmark__1793_513475976"/>
      <w:r>
        <w:rPr>
          <w:rFonts w:ascii="Calibri" w:hAnsi="Calibri" w:asciiTheme="majorHAnsi" w:hAnsiTheme="majorHAnsi"/>
          <w:lang w:val="en-GB"/>
        </w:rPr>
        <w:t>(</w:t>
      </w:r>
      <w:bookmarkStart w:id="293" w:name="__Fieldmark__5109_903549581"/>
      <w:r>
        <w:rPr>
          <w:rFonts w:ascii="Calibri" w:hAnsi="Calibri" w:asciiTheme="majorHAnsi" w:hAnsiTheme="majorHAnsi"/>
          <w:lang w:val="en-GB"/>
        </w:rPr>
        <w:t>Sacoor et al., 2013)</w:t>
      </w:r>
      <w:r>
        <w:rPr>
          <w:rFonts w:ascii="Calibri" w:hAnsi="Calibri" w:asciiTheme="majorHAnsi" w:hAnsiTheme="majorHAnsi"/>
          <w:lang w:val="en-GB"/>
        </w:rPr>
      </w:r>
      <w:r>
        <w:fldChar w:fldCharType="end"/>
      </w:r>
      <w:bookmarkEnd w:id="292"/>
      <w:bookmarkEnd w:id="293"/>
      <w:r>
        <w:rPr>
          <w:rFonts w:ascii="Calibri" w:hAnsi="Calibri" w:asciiTheme="majorHAnsi" w:hAnsiTheme="majorHAnsi"/>
          <w:lang w:val="en-GB"/>
        </w:rPr>
        <w:t xml:space="preserve">. The district encompasses two hospitals and 12 health centres, </w:t>
      </w:r>
      <w:ins w:id="174" w:author="Unknown Author" w:date="2018-04-12T11:23:00Z">
        <w:r>
          <w:rPr>
            <w:rFonts w:ascii="Calibri" w:hAnsi="Calibri" w:asciiTheme="majorHAnsi" w:hAnsiTheme="majorHAnsi"/>
            <w:lang w:val="en-GB"/>
          </w:rPr>
          <w:t>with the</w:t>
        </w:r>
      </w:ins>
      <w:del w:id="175" w:author="Unknown Author" w:date="2018-04-12T11:23:00Z">
        <w:r>
          <w:rPr>
            <w:rFonts w:ascii="Calibri" w:hAnsi="Calibri" w:asciiTheme="majorHAnsi" w:hAnsiTheme="majorHAnsi"/>
            <w:lang w:val="en-GB"/>
          </w:rPr>
          <w:delText>being the</w:delText>
        </w:r>
      </w:del>
      <w:r>
        <w:rPr>
          <w:rFonts w:ascii="Calibri" w:hAnsi="Calibri" w:asciiTheme="majorHAnsi" w:hAnsiTheme="majorHAnsi"/>
          <w:lang w:val="en-GB"/>
        </w:rPr>
        <w:t xml:space="preserve"> District Hospital adjacent to the CISM.</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tbl>
      <w:tblPr>
        <w:tblStyle w:val="Tablaconcuadrcula"/>
        <w:tblW w:w="8978" w:type="dxa"/>
        <w:jc w:val="left"/>
        <w:tblInd w:w="0" w:type="dxa"/>
        <w:tblCellMar>
          <w:top w:w="0" w:type="dxa"/>
          <w:left w:w="113" w:type="dxa"/>
          <w:bottom w:w="0" w:type="dxa"/>
          <w:right w:w="108" w:type="dxa"/>
        </w:tblCellMar>
        <w:tblLook w:val="04a0" w:noVBand="1" w:noHBand="0" w:lastColumn="0" w:firstColumn="1" w:lastRow="0" w:firstRow="1"/>
      </w:tblPr>
      <w:tblGrid>
        <w:gridCol w:w="8978"/>
      </w:tblGrid>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Figure 8. Location of the Manhiça HDSS study area</w:t>
            </w:r>
          </w:p>
        </w:tc>
      </w:tr>
      <w:tr>
        <w:trPr/>
        <w:tc>
          <w:tcPr>
            <w:tcW w:w="8978" w:type="dxa"/>
            <w:tcBorders>
              <w:top w:val="nil"/>
              <w:left w:val="nil"/>
              <w:bottom w:val="nil"/>
              <w:right w:val="nil"/>
              <w:insideH w:val="nil"/>
              <w:insideV w:val="nil"/>
            </w:tcBorders>
            <w:shd w:fill="auto" w:val="clear"/>
          </w:tcPr>
          <w:p>
            <w:pPr>
              <w:pStyle w:val="Normal"/>
              <w:spacing w:lineRule="auto" w:line="360"/>
              <w:jc w:val="center"/>
              <w:rPr>
                <w:rFonts w:ascii="Calibri" w:hAnsi="Calibri" w:asciiTheme="majorHAnsi" w:hAnsiTheme="majorHAnsi"/>
                <w:lang w:val="en-GB"/>
              </w:rPr>
            </w:pPr>
            <w:r>
              <w:rPr/>
              <w:drawing>
                <wp:inline distT="0" distB="0" distL="0" distR="0">
                  <wp:extent cx="5396230" cy="3749040"/>
                  <wp:effectExtent l="0" t="0" r="0" b="0"/>
                  <wp:docPr id="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
                          <pic:cNvPicPr>
                            <a:picLocks noChangeAspect="1" noChangeArrowheads="1"/>
                          </pic:cNvPicPr>
                        </pic:nvPicPr>
                        <pic:blipFill>
                          <a:blip r:embed="rId11"/>
                          <a:stretch>
                            <a:fillRect/>
                          </a:stretch>
                        </pic:blipFill>
                        <pic:spPr bwMode="auto">
                          <a:xfrm>
                            <a:off x="0" y="0"/>
                            <a:ext cx="5396230" cy="3749040"/>
                          </a:xfrm>
                          <a:prstGeom prst="rect">
                            <a:avLst/>
                          </a:prstGeom>
                        </pic:spPr>
                      </pic:pic>
                    </a:graphicData>
                  </a:graphic>
                </wp:inline>
              </w:drawing>
            </w:r>
          </w:p>
        </w:tc>
      </w:tr>
      <w:tr>
        <w:trPr/>
        <w:tc>
          <w:tcPr>
            <w:tcW w:w="8978" w:type="dxa"/>
            <w:tcBorders>
              <w:top w:val="nil"/>
              <w:left w:val="nil"/>
              <w:bottom w:val="nil"/>
              <w:right w:val="nil"/>
              <w:insideH w:val="nil"/>
              <w:insideV w:val="nil"/>
            </w:tcBorders>
            <w:shd w:fill="auto" w:val="clear"/>
          </w:tcPr>
          <w:p>
            <w:pPr>
              <w:pStyle w:val="Normal"/>
              <w:spacing w:lineRule="auto" w:line="360"/>
              <w:rPr>
                <w:rFonts w:ascii="Calibri" w:hAnsi="Calibri" w:asciiTheme="majorHAnsi" w:hAnsiTheme="majorHAnsi"/>
                <w:lang w:val="en-GB"/>
              </w:rPr>
            </w:pPr>
            <w:r>
              <w:rPr>
                <w:rFonts w:ascii="Calibri" w:hAnsi="Calibri" w:asciiTheme="majorHAnsi" w:hAnsiTheme="majorHAnsi"/>
                <w:i/>
                <w:u w:val="single"/>
                <w:lang w:val="en-GB"/>
              </w:rPr>
              <w:t>Source</w:t>
            </w:r>
            <w:r>
              <w:rPr>
                <w:rFonts w:ascii="Calibri" w:hAnsi="Calibri" w:asciiTheme="majorHAnsi" w:hAnsiTheme="majorHAnsi"/>
                <w:i/>
                <w:lang w:val="en-GB"/>
              </w:rPr>
              <w:t>: Sacoor C et al. 2013. Profile: Manhiça Health Research Centre (Manhiça HDSS). International Journal of Epidemiology 42: 1309-1318.</w:t>
            </w:r>
          </w:p>
        </w:tc>
      </w:tr>
    </w:tbl>
    <w:p>
      <w:pPr>
        <w:pStyle w:val="Normal"/>
        <w:spacing w:lineRule="auto" w:line="360"/>
        <w:rPr>
          <w:rFonts w:ascii="Calibri" w:hAnsi="Calibri" w:asciiTheme="majorHAnsi" w:hAnsiTheme="majorHAnsi"/>
          <w:i/>
          <w:i/>
          <w:lang w:val="en-GB"/>
        </w:rPr>
      </w:pPr>
      <w:r>
        <w:rPr>
          <w:rFonts w:asciiTheme="majorHAnsi" w:hAnsiTheme="majorHAnsi" w:ascii="Calibri" w:hAnsi="Calibri"/>
          <w: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2"/>
        <w:spacing w:lineRule="auto" w:line="360"/>
        <w:rPr>
          <w:lang w:val="en-GB"/>
        </w:rPr>
      </w:pPr>
      <w:bookmarkStart w:id="294" w:name="_Toc382138190"/>
      <w:bookmarkEnd w:id="294"/>
      <w:r>
        <w:rPr>
          <w:lang w:val="en-GB"/>
        </w:rPr>
        <w:t>2. Study methodology</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thesis is organised in three areas, which correspond to the three studied diseases, and is presented as a collection of three articles published in peer-reviewed international journals and one manuscript that is currently under preparation.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a. Visceral leishmaniasis (VL)</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area of work focuses on providing knowledge for improving the access to paediatric VL care by describing the clinical and management cost of paediatric VL in Morocco and evaluating the cost-effectiveness of alternative diagnostics and treatments.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first published work presents a detailed cost estimation of the management of paediatric VL patients for the Moroccan healthcare provider. It collects demographic, clinical and cost data from clinical records in eight hospitals with VL admissions in the North of the country. Data were validated and complemented with information from an expert meeting held with representative of the Ministry of Health in Rabat, the capital city. It is the first published study reporting estimates of provider costs for the management of paediatric VL patients in Morocco. It also summarises the current clinical practices and clinical profiles of paediatric VL patients attending, or being transferred to, a public tertiary hospital.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second published work evaluates the cost-effectiveness of introducing RDTs and two different regimes of L-AmB for the management of paediatric VL suspects, compared to current practices. This evaluation is essential to obtaining evidence for scaling up more efficient, although more expensive, treatments and faster and less invasive diagnostic tools than the current VL standards of care in Morocco.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b. Malaria</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The second area of work aims at describing the market for antimalarial medicines.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published article presents the results of the willingness and ability-to-pay for paediatric AL receiving the drug for free at public health facilities in Manhiça district. Responses were collected through a survey on willingness-to-pay for antimalarial medicines and was complemented with clinical and demographic data routinely collected on</w:t>
      </w:r>
      <w:ins w:id="176" w:author="Unknown Author" w:date="2018-04-12T11:23:00Z">
        <w:r>
          <w:rPr>
            <w:rFonts w:ascii="Calibri" w:hAnsi="Calibri" w:asciiTheme="majorHAnsi" w:hAnsiTheme="majorHAnsi"/>
            <w:lang w:val="en-GB"/>
          </w:rPr>
          <w:t>-</w:t>
        </w:r>
      </w:ins>
      <w:r>
        <w:rPr>
          <w:rFonts w:ascii="Calibri" w:hAnsi="Calibri" w:asciiTheme="majorHAnsi" w:hAnsiTheme="majorHAnsi"/>
          <w:lang w:val="en-GB"/>
        </w:rPr>
        <w:t>site. It also estimates the gap between willingness- and ability-to-pay and international and local prices. Besides, it estimates the socio-economic determinants of the demand for AL. After estimating the supply for paediatric AL, the study analyses the market for paediatric AL and its implications for improving access to malaria treatment.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i/>
          <w:i/>
          <w:lang w:val="en-GB"/>
        </w:rPr>
      </w:pPr>
      <w:r>
        <w:rPr>
          <w:rFonts w:ascii="Calibri" w:hAnsi="Calibri" w:asciiTheme="majorHAnsi" w:hAnsiTheme="majorHAnsi"/>
          <w:b/>
          <w:i/>
          <w:lang w:val="en-GB"/>
        </w:rPr>
        <w:t>c. Human Papillomavirus (HPV)</w:t>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third area of work focuses on improving access to HPV prevention by introducing vaccination into the health system but outside the routine expanded programme on immunisation (EPI).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This study (manuscript under preparation) presents the total programme costs and the cost per dose and per fully immunised girl for the 2014 cycle of the HPV vaccine demonstration programme undertook in the Manhiça district under a school-based approach. Structured interviews with key informants were carried out to obtain data on resources used for the programme, and data were complemented with information from the routine vaccination programme, such as use of resources, coverage, dropout rates and target population. The information obtained in this study is essential for policy implementation and can be compared to similar pilot programmes undertook in other LMICs.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295" w:name="_Toc382138191"/>
      <w:bookmarkEnd w:id="295"/>
      <w:r>
        <w:rPr>
          <w:rFonts w:ascii="Calibri" w:hAnsi="Calibri" w:asciiTheme="majorHAnsi" w:hAnsiTheme="majorHAnsi"/>
        </w:rPr>
        <w:t>IV. Results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6" w:name="_Toc382138192"/>
      <w:bookmarkEnd w:id="296"/>
      <w:r>
        <w:rPr>
          <w:lang w:val="en-GB"/>
        </w:rPr>
        <w:t>Article 1</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Cost of Pediatric Visceral Leishmaniasis Care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Nabil Tachfouti, Adil Najdi, </w:t>
      </w:r>
      <w:r>
        <w:rPr>
          <w:rFonts w:ascii="Calibri" w:hAnsi="Calibri" w:asciiTheme="majorHAnsi" w:hAnsiTheme="majorHAnsi"/>
          <w:u w:val="single"/>
          <w:lang w:val="en-GB"/>
        </w:rPr>
        <w:t>Sergi Alonso</w:t>
      </w:r>
      <w:r>
        <w:rPr>
          <w:rFonts w:ascii="Calibri" w:hAnsi="Calibri" w:asciiTheme="majorHAnsi" w:hAnsiTheme="majorHAnsi"/>
          <w:lang w:val="en-GB"/>
        </w:rPr>
        <w:t>, Elisa Sicuri, Abderahmane Laamrani El Idrissi, Chakib Nejjari,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 xml:space="preserve">PLoS ONE 11(6): e0155482. doi:10.1371/journal.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drawing>
          <wp:inline distT="0" distB="0" distL="0" distR="0">
            <wp:extent cx="5609590" cy="7931785"/>
            <wp:effectExtent l="0" t="0" r="0" b="0"/>
            <wp:docPr id="10" name="Imagen 16" descr="Macintosh HD:Users:sergialonso:Documents:ISGLOBAL:PhD:Article pages:VL cost: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Macintosh HD:Users:sergialonso:Documents:ISGLOBAL:PhD:Article pages:VL cost:1_journal.pone.0155482.PDF"/>
                    <pic:cNvPicPr>
                      <a:picLocks noChangeAspect="1" noChangeArrowheads="1"/>
                    </pic:cNvPicPr>
                  </pic:nvPicPr>
                  <pic:blipFill>
                    <a:blip r:embed="rId12"/>
                    <a:stretch>
                      <a:fillRect/>
                    </a:stretch>
                  </pic:blipFill>
                  <pic:spPr bwMode="auto">
                    <a:xfrm>
                      <a:off x="0" y="0"/>
                      <a:ext cx="5609590" cy="7931785"/>
                    </a:xfrm>
                    <a:prstGeom prst="rect">
                      <a:avLst/>
                    </a:prstGeom>
                  </pic:spPr>
                </pic:pic>
              </a:graphicData>
            </a:graphic>
          </wp:inline>
        </w:drawing>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605145" cy="7933055"/>
            <wp:effectExtent l="0" t="0" r="0" b="0"/>
            <wp:docPr id="11" name="Imagen 17" descr="Macintosh HD:Users:sergialonso:Documents:ISGLOBAL:PhD:Article pages:VL cost: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7" descr="Macintosh HD:Users:sergialonso:Documents:ISGLOBAL:PhD:Article pages:VL cost:2_journal.pone.0155482.PDF"/>
                    <pic:cNvPicPr>
                      <a:picLocks noChangeAspect="1" noChangeArrowheads="1"/>
                    </pic:cNvPicPr>
                  </pic:nvPicPr>
                  <pic:blipFill>
                    <a:blip r:embed="rId1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2" name="Imagen 18" descr="Macintosh HD:Users:sergialonso:Documents:ISGLOBAL:PhD:Article pages:VL cost: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8" descr="Macintosh HD:Users:sergialonso:Documents:ISGLOBAL:PhD:Article pages:VL cost:3_journal.pone.0155482.PDF"/>
                    <pic:cNvPicPr>
                      <a:picLocks noChangeAspect="1" noChangeArrowheads="1"/>
                    </pic:cNvPicPr>
                  </pic:nvPicPr>
                  <pic:blipFill>
                    <a:blip r:embed="rId14"/>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3" name="Imagen 19" descr="Macintosh HD:Users:sergialonso:Documents:ISGLOBAL:PhD:Article pages:VL cost:4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Macintosh HD:Users:sergialonso:Documents:ISGLOBAL:PhD:Article pages:VL cost:4_journal.pone.0155482.PDF"/>
                    <pic:cNvPicPr>
                      <a:picLocks noChangeAspect="1" noChangeArrowheads="1"/>
                    </pic:cNvPicPr>
                  </pic:nvPicPr>
                  <pic:blipFill>
                    <a:blip r:embed="rId15"/>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4" name="Imagen 20" descr="Macintosh HD:Users:sergialonso:Documents:ISGLOBAL:PhD:Article pages:VL cost:5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descr="Macintosh HD:Users:sergialonso:Documents:ISGLOBAL:PhD:Article pages:VL cost:5_journal.pone.0155482.PDF"/>
                    <pic:cNvPicPr>
                      <a:picLocks noChangeAspect="1" noChangeArrowheads="1"/>
                    </pic:cNvPicPr>
                  </pic:nvPicPr>
                  <pic:blipFill>
                    <a:blip r:embed="rId16"/>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5" name="Imagen 21" descr="Macintosh HD:Users:sergialonso:Documents:ISGLOBAL:PhD:Article pages:VL cost:6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1" descr="Macintosh HD:Users:sergialonso:Documents:ISGLOBAL:PhD:Article pages:VL cost:6_journal.pone.0155482.PDF"/>
                    <pic:cNvPicPr>
                      <a:picLocks noChangeAspect="1" noChangeArrowheads="1"/>
                    </pic:cNvPicPr>
                  </pic:nvPicPr>
                  <pic:blipFill>
                    <a:blip r:embed="rId17"/>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6" name="Imagen 22" descr="Macintosh HD:Users:sergialonso:Documents:Article pages:VL cost:7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descr="Macintosh HD:Users:sergialonso:Documents:Article pages:VL cost:7_journal.pone.0155482.PDF"/>
                    <pic:cNvPicPr>
                      <a:picLocks noChangeAspect="1" noChangeArrowheads="1"/>
                    </pic:cNvPicPr>
                  </pic:nvPicPr>
                  <pic:blipFill>
                    <a:blip r:embed="rId18"/>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7" name="Imagen 23" descr="Macintosh HD:Users:sergialonso:Documents:Article pages:VL cost:8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Macintosh HD:Users:sergialonso:Documents:Article pages:VL cost:8_journal.pone.0155482.PDF"/>
                    <pic:cNvPicPr>
                      <a:picLocks noChangeAspect="1" noChangeArrowheads="1"/>
                    </pic:cNvPicPr>
                  </pic:nvPicPr>
                  <pic:blipFill>
                    <a:blip r:embed="rId19"/>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8" name="Imagen 24" descr="Macintosh HD:Users:sergialonso:Documents:Article pages:VL cost:9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Macintosh HD:Users:sergialonso:Documents:Article pages:VL cost:9_journal.pone.0155482.PDF"/>
                    <pic:cNvPicPr>
                      <a:picLocks noChangeAspect="1" noChangeArrowheads="1"/>
                    </pic:cNvPicPr>
                  </pic:nvPicPr>
                  <pic:blipFill>
                    <a:blip r:embed="rId20"/>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19" name="Imagen 25" descr="Macintosh HD:Users:sergialonso:Documents:Article pages:VL cost:910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Macintosh HD:Users:sergialonso:Documents:Article pages:VL cost:910_journal.pone.0155482.PDF"/>
                    <pic:cNvPicPr>
                      <a:picLocks noChangeAspect="1" noChangeArrowheads="1"/>
                    </pic:cNvPicPr>
                  </pic:nvPicPr>
                  <pic:blipFill>
                    <a:blip r:embed="rId21"/>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0" name="Imagen 26" descr="Macintosh HD:Users:sergialonso:Documents:Article pages:VL cost:911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6" descr="Macintosh HD:Users:sergialonso:Documents:Article pages:VL cost:911_journal.pone.0155482.PDF"/>
                    <pic:cNvPicPr>
                      <a:picLocks noChangeAspect="1" noChangeArrowheads="1"/>
                    </pic:cNvPicPr>
                  </pic:nvPicPr>
                  <pic:blipFill>
                    <a:blip r:embed="rId22"/>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1" name="Imagen 27" descr="Macintosh HD:Users:sergialonso:Documents:Article pages:VL cost:912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7" descr="Macintosh HD:Users:sergialonso:Documents:Article pages:VL cost:912_journal.pone.0155482.PDF"/>
                    <pic:cNvPicPr>
                      <a:picLocks noChangeAspect="1" noChangeArrowheads="1"/>
                    </pic:cNvPicPr>
                  </pic:nvPicPr>
                  <pic:blipFill>
                    <a:blip r:embed="rId23"/>
                    <a:stretch>
                      <a:fillRect/>
                    </a:stretch>
                  </pic:blipFill>
                  <pic:spPr bwMode="auto">
                    <a:xfrm>
                      <a:off x="0" y="0"/>
                      <a:ext cx="5605145" cy="7933055"/>
                    </a:xfrm>
                    <a:prstGeom prst="rect">
                      <a:avLst/>
                    </a:prstGeom>
                  </pic:spPr>
                </pic:pic>
              </a:graphicData>
            </a:graphic>
          </wp:inline>
        </w:drawing>
      </w:r>
      <w:r>
        <w:rPr/>
        <w:drawing>
          <wp:inline distT="0" distB="0" distL="0" distR="0">
            <wp:extent cx="5605145" cy="7933055"/>
            <wp:effectExtent l="0" t="0" r="0" b="0"/>
            <wp:docPr id="22" name="Imagen 28" descr="Macintosh HD:Users:sergialonso:Documents:Article pages:VL cost:913_journal.pone.015548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8" descr="Macintosh HD:Users:sergialonso:Documents:Article pages:VL cost:913_journal.pone.0155482.PDF"/>
                    <pic:cNvPicPr>
                      <a:picLocks noChangeAspect="1" noChangeArrowheads="1"/>
                    </pic:cNvPicPr>
                  </pic:nvPicPr>
                  <pic:blipFill>
                    <a:blip r:embed="rId24"/>
                    <a:stretch>
                      <a:fillRect/>
                    </a:stretch>
                  </pic:blipFill>
                  <pic:spPr bwMode="auto">
                    <a:xfrm>
                      <a:off x="0" y="0"/>
                      <a:ext cx="5605145" cy="7933055"/>
                    </a:xfrm>
                    <a:prstGeom prst="rect">
                      <a:avLst/>
                    </a:prstGeom>
                  </pic:spPr>
                </pic:pic>
              </a:graphicData>
            </a:graphic>
          </wp:inline>
        </w:drawing>
      </w:r>
    </w:p>
    <w:p>
      <w:pPr>
        <w:pStyle w:val="Normal"/>
        <w:rPr>
          <w:b/>
          <w:b/>
          <w:lang w:val="en-GB"/>
        </w:rPr>
      </w:pPr>
      <w:r>
        <w:rPr>
          <w:b/>
          <w:lang w:val="en-GB"/>
        </w:rPr>
      </w:r>
      <w:r>
        <w:br w:type="page"/>
      </w:r>
    </w:p>
    <w:p>
      <w:pPr>
        <w:pStyle w:val="Normal"/>
        <w:spacing w:lineRule="auto" w:line="360"/>
        <w:rPr>
          <w:lang w:val="en-GB"/>
        </w:rPr>
      </w:pPr>
      <w:r>
        <w:rPr>
          <w:b/>
          <w:lang w:val="en-GB"/>
        </w:rPr>
        <w:t>Supplementary material</w:t>
      </w:r>
    </w:p>
    <w:p>
      <w:pPr>
        <w:pStyle w:val="Normal"/>
        <w:spacing w:lineRule="auto" w:line="360"/>
        <w:rPr>
          <w:lang w:val="en-GB"/>
        </w:rPr>
      </w:pPr>
      <w:r>
        <w:rPr>
          <w:rFonts w:eastAsia="Times New Roman"/>
          <w:b/>
          <w:color w:val="000000"/>
          <w:lang w:val="en-GB" w:eastAsia="en-GB"/>
        </w:rPr>
        <w:t>S1 Table</w:t>
      </w:r>
      <w:r>
        <w:rPr>
          <w:rFonts w:eastAsia="Times New Roman"/>
          <w:color w:val="000000"/>
          <w:lang w:val="en-GB" w:eastAsia="en-GB"/>
        </w:rPr>
        <w:t>: Unit costs associated to resources used by pediatric visceral leishmaniasis (VL) patients in Morocco (US$).</w:t>
      </w:r>
    </w:p>
    <w:tbl>
      <w:tblPr>
        <w:tblW w:w="1025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3418"/>
        <w:gridCol w:w="1788"/>
        <w:gridCol w:w="106"/>
        <w:gridCol w:w="1237"/>
        <w:gridCol w:w="2"/>
        <w:gridCol w:w="1200"/>
        <w:gridCol w:w="2"/>
        <w:gridCol w:w="2500"/>
      </w:tblGrid>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HOSPITALIZATION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1 to 3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the first 3 nights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4 to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4</w:t>
            </w:r>
            <w:r>
              <w:rPr>
                <w:vertAlign w:val="superscript"/>
                <w:lang w:val="en-GB"/>
              </w:rPr>
              <w:t>th</w:t>
            </w:r>
            <w:r>
              <w:rPr>
                <w:lang w:val="en-GB"/>
              </w:rPr>
              <w:t xml:space="preserve"> to 10</w:t>
            </w:r>
            <w:r>
              <w:rPr>
                <w:vertAlign w:val="superscript"/>
                <w:lang w:val="en-GB"/>
              </w:rPr>
              <w:t>th</w:t>
            </w:r>
            <w:r>
              <w:rPr>
                <w:lang w:val="en-GB"/>
              </w:rPr>
              <w:t xml:space="preserve"> night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More than 10 nights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Cost per night, from 10</w:t>
            </w:r>
            <w:r>
              <w:rPr>
                <w:vertAlign w:val="superscript"/>
                <w:lang w:val="en-GB"/>
              </w:rPr>
              <w:t>th</w:t>
            </w:r>
            <w:r>
              <w:rPr>
                <w:lang w:val="en-GB"/>
              </w:rPr>
              <w:t xml:space="preserve"> night onwards</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VL DIAGNOSTIC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Serology</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Bone Marrow</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39.60</w:t>
            </w:r>
          </w:p>
        </w:tc>
        <w:tc>
          <w:tcPr>
            <w:tcW w:w="25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VL TREATMENT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CHR/CHP/CHU</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PHC</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Comments</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(best estimate)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Ministry of Health</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(minimum)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Source: </w:t>
            </w:r>
            <w:r>
              <w:rPr>
                <w:i/>
                <w:lang w:val="en-GB"/>
              </w:rPr>
              <w:t>La lute contre les leishmanioses</w:t>
            </w:r>
            <w:r>
              <w:rPr>
                <w:lang w:val="en-GB"/>
              </w:rPr>
              <w:t>, WHO 2010.</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Glucantime injection (maximum)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2013 market price (http://erc.msh.org/)</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Median state nurse hourly wage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principal-mid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1,733.26</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principal-low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1,186.83</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keepNext/>
              <w:keepLines/>
              <w:numPr>
                <w:ilvl w:val="0"/>
                <w:numId w:val="0"/>
              </w:numPr>
              <w:spacing w:before="200" w:after="0"/>
              <w:outlineLvl w:val="3"/>
              <w:rPr>
                <w:lang w:val="en-GB"/>
              </w:rPr>
            </w:pPr>
            <w:r>
              <w:rPr>
                <w:lang w:val="en-GB"/>
              </w:rPr>
              <w:t>Monthly salary of a state-licensed nurse principal-high grade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12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1,895.00</w:t>
            </w:r>
          </w:p>
        </w:tc>
        <w:tc>
          <w:tcPr>
            <w:tcW w:w="3704"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Source: Ministère de la fonction publique</w:t>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OTHER DIAGNOSTIC TESTS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CHR/CHP</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CHU</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 xml:space="preserve">Private </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Transfusion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NFS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Vitesse Sédimentation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Electroph Proteines Sérique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Glucose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Uree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Créatinine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Acide Urique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Triglyceride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HDL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Cholesterol LDL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total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liée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non-conjuguée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neonatal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Bilirubine directe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7.49</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10.11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P (ALAT GPT)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Transaminases O (ALAT GOT)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Gamma glutamyltransférase (GGT)</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Phosphatases alcalines (PAL)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Calcium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Phosphore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 serique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8.32</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Sodium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Chlore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4.16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Resérve alkaline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Protide (protein totales)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Taux de prothrombine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CRP</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abdominal</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Radiographie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ECG</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Dosage Vit B12</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47.56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Cytologie culture identification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9.63</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10.70</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Ecographie cardio</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59.45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77.29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Ferritine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11.89</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Fibrinogène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Groupe ABD et rhésus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LCR</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Réticulocytes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A</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26.75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29.73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B</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64.21</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Hépatite C</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35.67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Herpes virus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HIV</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21.40</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23.78</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Rubéole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Syphilis</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12.84</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14.27</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Toxoplasmose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16.05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17.84</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Salmonellose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8.56</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9.51</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Sideremie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6.42</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7.13</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céphaline kaolin</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4.28</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4.76</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Temps de coagulation activée</w:t>
            </w:r>
          </w:p>
        </w:tc>
        <w:tc>
          <w:tcPr>
            <w:tcW w:w="17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34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5.35</w:t>
            </w:r>
          </w:p>
        </w:tc>
        <w:tc>
          <w:tcPr>
            <w:tcW w:w="120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5.95</w:t>
            </w:r>
          </w:p>
        </w:tc>
        <w:tc>
          <w:tcPr>
            <w:tcW w:w="25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10253"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b/>
                <w:lang w:val="en-GB"/>
              </w:rPr>
              <w:t>OTHER TREATMENTS COST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Concept</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b/>
                <w:b/>
                <w:lang w:val="en-GB"/>
              </w:rPr>
            </w:pPr>
            <w:r>
              <w:rPr>
                <w:b/>
                <w:lang w:val="en-GB"/>
              </w:rPr>
              <w:t>Public price</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b/>
                <w:b/>
                <w:lang w:val="en-GB"/>
              </w:rPr>
            </w:pPr>
            <w:r>
              <w:rPr>
                <w:b/>
                <w:lang w:val="en-GB"/>
              </w:rPr>
              <w:t>Comment</w:t>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Abboticine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Amoxil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1.86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Ampicillline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Aspegic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6.78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Astaph</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2.37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Augmentin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9.50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Aximycine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Bactrim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Biosel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Biotic plus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Brufen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Butamyl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2.54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Cacitvitamine D3</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Calmixene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5.70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Caftriaxonemylan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Ciproxine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Clartec</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3.15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color w:val="000000"/>
                <w:lang w:val="en-GB"/>
              </w:rPr>
            </w:pPr>
            <w:r>
              <w:rPr>
                <w:color w:val="000000"/>
                <w:lang w:val="en-GB"/>
              </w:rPr>
              <w:t>Cloprame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Paracetamol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2.10</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Cortancyl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1.59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Diapharm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Doliprane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1.47</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Efferalgan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Fasigyne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7.88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Flagyl</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3.91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Fortum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8.74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Fumafer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3.09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Genta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11.52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10%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2.62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 xml:space="preserve">Glucose 5% </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4.03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Konakion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5.32</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Lasilix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0.88</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Maltofer</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Neomox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5.46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Novoclin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9.94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Perfalgan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33.06</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Peridys</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Potassium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2.93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Primperan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3.35</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Rhesonativ</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68.61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Smecta</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6.23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Streptocid</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4.64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Tobradex</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4.24</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Triaxon</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19.73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Ultra-levure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4.53</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Valium</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3.41</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r>
        <w:trPr/>
        <w:tc>
          <w:tcPr>
            <w:tcW w:w="3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t>Voltarene</w:t>
            </w:r>
          </w:p>
        </w:tc>
        <w:tc>
          <w:tcPr>
            <w:tcW w:w="189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jc w:val="right"/>
              <w:rPr>
                <w:lang w:val="en-GB"/>
              </w:rPr>
            </w:pPr>
            <w:r>
              <w:rPr>
                <w:lang w:val="en-GB"/>
              </w:rPr>
              <w:t>1.39</w:t>
            </w:r>
          </w:p>
        </w:tc>
        <w:tc>
          <w:tcPr>
            <w:tcW w:w="4941"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rPr>
                <w:lang w:val="en-GB"/>
              </w:rPr>
            </w:pPr>
            <w:r>
              <w:rPr>
                <w:lang w:val="en-GB"/>
              </w:rPr>
            </w:r>
          </w:p>
        </w:tc>
      </w:tr>
    </w:tbl>
    <w:p>
      <w:pPr>
        <w:pStyle w:val="Normal"/>
        <w:spacing w:lineRule="auto" w:line="360"/>
        <w:rPr>
          <w:lang w:val="en-GB"/>
        </w:rPr>
      </w:pPr>
      <w:r>
        <w:rPr>
          <w:lang w:val="en-GB"/>
        </w:rPr>
      </w:r>
    </w:p>
    <w:p>
      <w:pPr>
        <w:pStyle w:val="Normal"/>
        <w:rPr>
          <w:lang w:val="en-GB"/>
        </w:rPr>
      </w:pPr>
      <w:r>
        <w:rPr>
          <w:lang w:val="en-GB"/>
        </w:rPr>
      </w:r>
      <w:r>
        <w:br w:type="page"/>
      </w:r>
    </w:p>
    <w:p>
      <w:pPr>
        <w:pStyle w:val="Normal"/>
        <w:spacing w:lineRule="auto" w:line="360"/>
        <w:rPr>
          <w:lang w:val="en-GB"/>
        </w:rPr>
      </w:pPr>
      <w:r>
        <w:rPr>
          <w:b/>
          <w:lang w:val="en-GB"/>
        </w:rPr>
        <w:t>S2 Table</w:t>
      </w:r>
      <w:r>
        <w:rPr>
          <w:lang w:val="en-GB"/>
        </w:rPr>
        <w:t xml:space="preserve">: Distribution of pediatric visceral leishmaniasis (VL) per weight category in Morocco (n=97). </w:t>
      </w:r>
    </w:p>
    <w:tbl>
      <w:tblPr>
        <w:tblW w:w="3251" w:type="dxa"/>
        <w:jc w:val="left"/>
        <w:tblInd w:w="109" w:type="dxa"/>
        <w:tblBorders>
          <w:bottom w:val="single" w:sz="4" w:space="0" w:color="00000A"/>
          <w:insideH w:val="single" w:sz="4" w:space="0" w:color="00000A"/>
        </w:tblBorders>
        <w:tblCellMar>
          <w:top w:w="0" w:type="dxa"/>
          <w:left w:w="108" w:type="dxa"/>
          <w:bottom w:w="0" w:type="dxa"/>
          <w:right w:w="108" w:type="dxa"/>
        </w:tblCellMar>
        <w:tblLook w:val="04a0" w:noVBand="1" w:noHBand="0" w:lastColumn="0" w:firstColumn="1" w:lastRow="0" w:firstRow="1"/>
      </w:tblPr>
      <w:tblGrid>
        <w:gridCol w:w="1273"/>
        <w:gridCol w:w="675"/>
        <w:gridCol w:w="1303"/>
      </w:tblGrid>
      <w:tr>
        <w:trPr>
          <w:trHeight w:val="300" w:hRule="atLeast"/>
        </w:trPr>
        <w:tc>
          <w:tcPr>
            <w:tcW w:w="1273" w:type="dxa"/>
            <w:tcBorders>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Weight (kg)</w:t>
            </w:r>
          </w:p>
        </w:tc>
        <w:tc>
          <w:tcPr>
            <w:tcW w:w="675"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N</w:t>
            </w:r>
          </w:p>
        </w:tc>
        <w:tc>
          <w:tcPr>
            <w:tcW w:w="1303" w:type="dxa"/>
            <w:tcBorders>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Frequency</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&lt; 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7.6-10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46</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47%</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10.1-12.5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24%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12.6-15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11%</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15.1-17.5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17.6-20</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4%</w:t>
            </w:r>
          </w:p>
        </w:tc>
      </w:tr>
      <w:tr>
        <w:trPr>
          <w:trHeight w:val="300" w:hRule="atLeast"/>
        </w:trPr>
        <w:tc>
          <w:tcPr>
            <w:tcW w:w="1273" w:type="dxa"/>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lang w:val="en-GB" w:eastAsia="en-GB"/>
              </w:rPr>
            </w:pPr>
            <w:r>
              <w:rPr>
                <w:rFonts w:eastAsia="Times New Roman"/>
                <w:color w:val="000000"/>
                <w:lang w:val="en-GB" w:eastAsia="en-GB"/>
              </w:rPr>
              <w:t>&gt; 22.5</w:t>
            </w:r>
          </w:p>
        </w:tc>
        <w:tc>
          <w:tcPr>
            <w:tcW w:w="675"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c>
          <w:tcPr>
            <w:tcW w:w="1303" w:type="dxa"/>
            <w:tcBorders>
              <w:top w:val="single" w:sz="4" w:space="0" w:color="00000A"/>
              <w:bottom w:val="single" w:sz="4" w:space="0" w:color="00000A"/>
              <w:insideH w:val="single" w:sz="4" w:space="0" w:color="00000A"/>
            </w:tcBorders>
            <w:shd w:fill="auto" w:val="clear"/>
            <w:vAlign w:val="bottom"/>
          </w:tcPr>
          <w:p>
            <w:pPr>
              <w:pStyle w:val="Normal"/>
              <w:jc w:val="right"/>
              <w:rPr>
                <w:rFonts w:eastAsia="Times New Roman"/>
                <w:color w:val="000000"/>
                <w:lang w:val="en-GB" w:eastAsia="en-GB"/>
              </w:rPr>
            </w:pPr>
            <w:r>
              <w:rPr>
                <w:rFonts w:eastAsia="Times New Roman"/>
                <w:color w:val="000000"/>
                <w:lang w:val="en-GB" w:eastAsia="en-GB"/>
              </w:rPr>
              <w:t>3%</w:t>
            </w:r>
          </w:p>
        </w:tc>
      </w:tr>
      <w:tr>
        <w:trPr>
          <w:trHeight w:val="23" w:hRule="exact"/>
        </w:trPr>
        <w:tc>
          <w:tcPr>
            <w:tcW w:w="3251" w:type="dxa"/>
            <w:gridSpan w:val="3"/>
            <w:tcBorders>
              <w:top w:val="single" w:sz="4" w:space="0" w:color="00000A"/>
              <w:bottom w:val="single" w:sz="4" w:space="0" w:color="00000A"/>
              <w:insideH w:val="single" w:sz="4" w:space="0" w:color="00000A"/>
            </w:tcBorders>
            <w:shd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r>
    </w:tbl>
    <w:p>
      <w:pPr>
        <w:sectPr>
          <w:footerReference w:type="default" r:id="rId25"/>
          <w:type w:val="nextPage"/>
          <w:pgSz w:w="12240" w:h="15840"/>
          <w:pgMar w:left="1701" w:right="1701" w:header="0" w:top="1417" w:footer="708" w:bottom="1417" w:gutter="0"/>
          <w:pgNumType w:fmt="decimal"/>
          <w:formProt w:val="false"/>
          <w:titlePg/>
          <w:textDirection w:val="lrTb"/>
          <w:docGrid w:type="default" w:linePitch="360" w:charSpace="4294961151"/>
        </w:sectPr>
        <w:pStyle w:val="Normal"/>
        <w:rPr>
          <w:lang w:val="en-GB"/>
        </w:rPr>
      </w:pPr>
      <w:r>
        <w:rPr>
          <w:lang w:val="en-GB"/>
        </w:rPr>
      </w:r>
    </w:p>
    <w:p>
      <w:pPr>
        <w:pStyle w:val="Normal"/>
        <w:rPr>
          <w:rFonts w:eastAsia="Times New Roman"/>
          <w:color w:val="000000"/>
          <w:lang w:val="en-GB" w:eastAsia="en-GB"/>
        </w:rPr>
      </w:pPr>
      <w:r>
        <w:rPr>
          <w:rFonts w:eastAsia="Times New Roman"/>
          <w:b/>
          <w:color w:val="000000"/>
          <w:lang w:val="en-GB" w:eastAsia="en-GB"/>
        </w:rPr>
        <w:t>S3 Table</w:t>
      </w:r>
      <w:r>
        <w:rPr>
          <w:rFonts w:eastAsia="Times New Roman"/>
          <w:color w:val="000000"/>
          <w:lang w:val="en-GB" w:eastAsia="en-GB"/>
        </w:rPr>
        <w:t xml:space="preserve">: Costs of pediatric visceral leishmaniasis (VL) care in Morocco (US$). Costs per category as private resources were charged at a public unit price (SCENARIO 2). Total costs and costs divided by category (VL diagnosis, VL treatment, Hospitalization, Tests and other Treatments) presented for the whole study population and per treatment strategy: inpatient and outpatient. Mean, standard deviation (sd), median, inter-quartile range (IQR) are presented for each category. </w:t>
      </w:r>
    </w:p>
    <w:p>
      <w:pPr>
        <w:pStyle w:val="Normal"/>
        <w:rPr>
          <w:rFonts w:eastAsia="Times New Roman"/>
          <w:color w:val="000000"/>
          <w:lang w:val="en-GB" w:eastAsia="en-GB"/>
        </w:rPr>
      </w:pPr>
      <w:r>
        <w:rPr>
          <w:rFonts w:eastAsia="Times New Roman"/>
          <w:color w:val="000000"/>
          <w:lang w:val="en-GB" w:eastAsia="en-GB"/>
        </w:rPr>
      </w:r>
    </w:p>
    <w:p>
      <w:pPr>
        <w:pStyle w:val="Normal"/>
        <w:rPr>
          <w:lang w:val="en-GB"/>
        </w:rPr>
      </w:pPr>
      <w:r>
        <w:rPr>
          <w:lang w:val="en-GB"/>
        </w:rPr>
      </w:r>
    </w:p>
    <w:tbl>
      <w:tblPr>
        <w:tblW w:w="14471" w:type="dxa"/>
        <w:jc w:val="left"/>
        <w:tblInd w:w="-713" w:type="dxa"/>
        <w:tblBorders/>
        <w:tblCellMar>
          <w:top w:w="0" w:type="dxa"/>
          <w:left w:w="108" w:type="dxa"/>
          <w:bottom w:w="0" w:type="dxa"/>
          <w:right w:w="108" w:type="dxa"/>
        </w:tblCellMar>
        <w:tblLook w:val="04a0" w:noVBand="1" w:noHBand="0" w:lastColumn="0" w:firstColumn="1" w:lastRow="0" w:firstRow="1"/>
      </w:tblPr>
      <w:tblGrid>
        <w:gridCol w:w="1928"/>
        <w:gridCol w:w="762"/>
        <w:gridCol w:w="709"/>
        <w:gridCol w:w="825"/>
        <w:gridCol w:w="1044"/>
        <w:gridCol w:w="627"/>
        <w:gridCol w:w="253"/>
        <w:gridCol w:w="664"/>
        <w:gridCol w:w="710"/>
        <w:gridCol w:w="824"/>
        <w:gridCol w:w="1023"/>
        <w:gridCol w:w="627"/>
        <w:gridCol w:w="253"/>
        <w:gridCol w:w="928"/>
        <w:gridCol w:w="709"/>
        <w:gridCol w:w="926"/>
        <w:gridCol w:w="928"/>
        <w:gridCol w:w="107"/>
        <w:gridCol w:w="620"/>
      </w:tblGrid>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3340"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Total (N=127)</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22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Inpatient (N=73)</w:t>
            </w:r>
          </w:p>
        </w:tc>
        <w:tc>
          <w:tcPr>
            <w:tcW w:w="627"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253" w:type="dxa"/>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r>
          </w:p>
        </w:tc>
        <w:tc>
          <w:tcPr>
            <w:tcW w:w="3491" w:type="dxa"/>
            <w:gridSpan w:val="4"/>
            <w:tcBorders/>
            <w:shd w:color="auto" w:fill="auto" w:val="clear"/>
            <w:vAlign w:val="bottom"/>
          </w:tcPr>
          <w:p>
            <w:pPr>
              <w:pStyle w:val="Normal"/>
              <w:jc w:val="center"/>
              <w:rPr>
                <w:rFonts w:eastAsia="Times New Roman"/>
                <w:color w:val="000000"/>
                <w:sz w:val="20"/>
                <w:szCs w:val="20"/>
                <w:lang w:val="en-GB" w:eastAsia="en-GB"/>
              </w:rPr>
            </w:pPr>
            <w:r>
              <w:rPr>
                <w:rFonts w:eastAsia="Times New Roman"/>
                <w:color w:val="000000"/>
                <w:sz w:val="20"/>
                <w:szCs w:val="20"/>
                <w:lang w:val="en-GB" w:eastAsia="en-GB"/>
              </w:rPr>
              <w:t>Outpatient (N=54)</w:t>
            </w:r>
          </w:p>
        </w:tc>
        <w:tc>
          <w:tcPr>
            <w:tcW w:w="727" w:type="dxa"/>
            <w:gridSpan w:val="2"/>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r>
      <w:tr>
        <w:trPr>
          <w:trHeight w:val="300" w:hRule="atLeast"/>
        </w:trPr>
        <w:tc>
          <w:tcPr>
            <w:tcW w:w="1928"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c>
          <w:tcPr>
            <w:tcW w:w="253" w:type="dx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Mean</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(s.d.)</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Median</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(IQR)</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color w:val="000000"/>
                <w:sz w:val="20"/>
                <w:szCs w:val="20"/>
                <w:lang w:val="en-GB" w:eastAsia="en-GB"/>
              </w:rPr>
            </w:pPr>
            <w:r>
              <w:rPr>
                <w:rFonts w:eastAsia="Times New Roman"/>
                <w:color w:val="000000"/>
                <w:sz w:val="20"/>
                <w:szCs w:val="20"/>
                <w:lang w:val="en-GB" w:eastAsia="en-GB"/>
              </w:rPr>
              <w:t>%</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diagnosis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24</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(13-33)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23</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(21-24)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VL treatment</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(45-53)</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(39-52)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51</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52</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(49-54)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Hospital</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15</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29</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(16)</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(15-36)</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11</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(9)</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9</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(5-13)</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w:t>
            </w:r>
          </w:p>
        </w:tc>
      </w:tr>
      <w:tr>
        <w:trPr>
          <w:trHeight w:val="300" w:hRule="atLeast"/>
        </w:trPr>
        <w:tc>
          <w:tcPr>
            <w:tcW w:w="1928" w:type="dxa"/>
            <w:tcBorders/>
            <w:shd w:color="auto" w:fill="auto" w:val="clear"/>
            <w:vAlign w:val="bottom"/>
          </w:tcPr>
          <w:p>
            <w:pPr>
              <w:pStyle w:val="Normal"/>
              <w:ind w:firstLine="180"/>
              <w:rPr>
                <w:rFonts w:eastAsia="Times New Roman"/>
                <w:color w:val="000000"/>
                <w:sz w:val="18"/>
                <w:szCs w:val="18"/>
                <w:lang w:val="en-GB" w:eastAsia="en-GB"/>
              </w:rPr>
            </w:pPr>
            <w:r>
              <w:rPr>
                <w:rFonts w:eastAsia="Times New Roman"/>
                <w:color w:val="000000"/>
                <w:sz w:val="18"/>
                <w:szCs w:val="18"/>
                <w:lang w:val="en-GB" w:eastAsia="en-GB"/>
              </w:rPr>
              <w:t>PHC</w:t>
            </w:r>
          </w:p>
        </w:tc>
        <w:tc>
          <w:tcPr>
            <w:tcW w:w="762"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27</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(19)</w:t>
            </w:r>
          </w:p>
        </w:tc>
        <w:tc>
          <w:tcPr>
            <w:tcW w:w="825"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31</w:t>
            </w:r>
          </w:p>
        </w:tc>
        <w:tc>
          <w:tcPr>
            <w:tcW w:w="1044"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(0-44)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5%</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66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18</w:t>
            </w:r>
          </w:p>
        </w:tc>
        <w:tc>
          <w:tcPr>
            <w:tcW w:w="710"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(18)</w:t>
            </w:r>
          </w:p>
        </w:tc>
        <w:tc>
          <w:tcPr>
            <w:tcW w:w="824"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21</w:t>
            </w:r>
          </w:p>
        </w:tc>
        <w:tc>
          <w:tcPr>
            <w:tcW w:w="102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(0-34)</w:t>
            </w:r>
          </w:p>
        </w:tc>
        <w:tc>
          <w:tcPr>
            <w:tcW w:w="627"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2%</w:t>
            </w:r>
          </w:p>
        </w:tc>
        <w:tc>
          <w:tcPr>
            <w:tcW w:w="253"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r>
          </w:p>
        </w:tc>
        <w:tc>
          <w:tcPr>
            <w:tcW w:w="928"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40</w:t>
            </w:r>
          </w:p>
        </w:tc>
        <w:tc>
          <w:tcPr>
            <w:tcW w:w="709" w:type="dxa"/>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(13)</w:t>
            </w:r>
          </w:p>
        </w:tc>
        <w:tc>
          <w:tcPr>
            <w:tcW w:w="926"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43</w:t>
            </w:r>
          </w:p>
        </w:tc>
        <w:tc>
          <w:tcPr>
            <w:tcW w:w="1035" w:type="dxa"/>
            <w:gridSpan w:val="2"/>
            <w:tcBorders/>
            <w:shd w:color="auto" w:fill="auto" w:val="clear"/>
            <w:vAlign w:val="bottom"/>
          </w:tcPr>
          <w:p>
            <w:pPr>
              <w:pStyle w:val="Normal"/>
              <w:rPr>
                <w:rFonts w:eastAsia="Times New Roman"/>
                <w:color w:val="000000"/>
                <w:sz w:val="18"/>
                <w:szCs w:val="18"/>
                <w:lang w:val="en-GB" w:eastAsia="en-GB"/>
              </w:rPr>
            </w:pPr>
            <w:r>
              <w:rPr>
                <w:rFonts w:eastAsia="Times New Roman"/>
                <w:color w:val="000000"/>
                <w:sz w:val="18"/>
                <w:szCs w:val="18"/>
                <w:lang w:val="en-GB" w:eastAsia="en-GB"/>
              </w:rPr>
              <w:t>(37-49)</w:t>
            </w:r>
          </w:p>
        </w:tc>
        <w:tc>
          <w:tcPr>
            <w:tcW w:w="620" w:type="dxa"/>
            <w:tcBorders/>
            <w:shd w:color="auto" w:fill="auto" w:val="clear"/>
            <w:vAlign w:val="bottom"/>
          </w:tcPr>
          <w:p>
            <w:pPr>
              <w:pStyle w:val="Normal"/>
              <w:jc w:val="right"/>
              <w:rPr>
                <w:rFonts w:eastAsia="Times New Roman"/>
                <w:color w:val="000000"/>
                <w:sz w:val="18"/>
                <w:szCs w:val="18"/>
                <w:lang w:val="en-GB" w:eastAsia="en-GB"/>
              </w:rPr>
            </w:pPr>
            <w:r>
              <w:rPr>
                <w:rFonts w:eastAsia="Times New Roman"/>
                <w:color w:val="000000"/>
                <w:sz w:val="18"/>
                <w:szCs w:val="18"/>
                <w:lang w:val="en-GB" w:eastAsia="en-GB"/>
              </w:rPr>
              <w:t>12%</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Hospitalization</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(236)</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262</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(161-376)</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415</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(251)</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357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(273-464)</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165</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(99)</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154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(95-214)</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54%</w:t>
            </w:r>
          </w:p>
        </w:tc>
      </w:tr>
      <w:tr>
        <w:trPr>
          <w:trHeight w:val="300" w:hRule="atLeast"/>
        </w:trPr>
        <w:tc>
          <w:tcPr>
            <w:tcW w:w="1928"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Tests</w:t>
            </w:r>
          </w:p>
        </w:tc>
        <w:tc>
          <w:tcPr>
            <w:tcW w:w="762"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142</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(367)</w:t>
            </w:r>
          </w:p>
        </w:tc>
        <w:tc>
          <w:tcPr>
            <w:tcW w:w="825"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69</w:t>
            </w:r>
          </w:p>
        </w:tc>
        <w:tc>
          <w:tcPr>
            <w:tcW w:w="1044"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(28-122)</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25%</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66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220</w:t>
            </w:r>
          </w:p>
        </w:tc>
        <w:tc>
          <w:tcPr>
            <w:tcW w:w="710"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(469)</w:t>
            </w:r>
          </w:p>
        </w:tc>
        <w:tc>
          <w:tcPr>
            <w:tcW w:w="824"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107</w:t>
            </w:r>
          </w:p>
        </w:tc>
        <w:tc>
          <w:tcPr>
            <w:tcW w:w="102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(76-165)</w:t>
            </w:r>
          </w:p>
        </w:tc>
        <w:tc>
          <w:tcPr>
            <w:tcW w:w="627"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253"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r>
          </w:p>
        </w:tc>
        <w:tc>
          <w:tcPr>
            <w:tcW w:w="928"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37</w:t>
            </w:r>
          </w:p>
        </w:tc>
        <w:tc>
          <w:tcPr>
            <w:tcW w:w="709" w:type="dx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926"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1035" w:type="dxa"/>
            <w:gridSpan w:val="2"/>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(13-57)</w:t>
            </w:r>
          </w:p>
        </w:tc>
        <w:tc>
          <w:tcPr>
            <w:tcW w:w="620" w:type="dx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12%</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Other treatment</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47</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(40)</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58</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(4-73)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(41)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64</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(8-87)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8%</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(34)</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21</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(3-62)</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11%</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Total Costs</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571</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(534)</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486</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(310-637)</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764</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(631)</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607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(519-793)</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309</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(128)</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300</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(215-373)</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928"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Day of hospitalization</w:t>
            </w:r>
          </w:p>
        </w:tc>
        <w:tc>
          <w:tcPr>
            <w:tcW w:w="762"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33</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(13)</w:t>
            </w:r>
          </w:p>
        </w:tc>
        <w:tc>
          <w:tcPr>
            <w:tcW w:w="825"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32</w:t>
            </w:r>
          </w:p>
        </w:tc>
        <w:tc>
          <w:tcPr>
            <w:tcW w:w="1044"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(22-40)</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66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29</w:t>
            </w:r>
          </w:p>
        </w:tc>
        <w:tc>
          <w:tcPr>
            <w:tcW w:w="71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(10)</w:t>
            </w:r>
          </w:p>
        </w:tc>
        <w:tc>
          <w:tcPr>
            <w:tcW w:w="824"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27</w:t>
            </w:r>
          </w:p>
        </w:tc>
        <w:tc>
          <w:tcPr>
            <w:tcW w:w="102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(19-38)</w:t>
            </w:r>
          </w:p>
        </w:tc>
        <w:tc>
          <w:tcPr>
            <w:tcW w:w="627"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253"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c>
          <w:tcPr>
            <w:tcW w:w="928"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38</w:t>
            </w:r>
          </w:p>
        </w:tc>
        <w:tc>
          <w:tcPr>
            <w:tcW w:w="709"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(15)</w:t>
            </w:r>
          </w:p>
        </w:tc>
        <w:tc>
          <w:tcPr>
            <w:tcW w:w="926" w:type="dxa"/>
            <w:tcBorders>
              <w:top w:val="single" w:sz="4" w:space="0" w:color="00000A"/>
              <w:bottom w:val="single" w:sz="4" w:space="0" w:color="00000A"/>
              <w:insideH w:val="single" w:sz="4" w:space="0" w:color="00000A"/>
            </w:tcBorders>
            <w:shd w:color="auto" w:fill="auto" w:val="clear"/>
            <w:vAlign w:val="bottom"/>
          </w:tcPr>
          <w:p>
            <w:pPr>
              <w:pStyle w:val="Normal"/>
              <w:jc w:val="right"/>
              <w:rPr>
                <w:rFonts w:eastAsia="Times New Roman"/>
                <w:b/>
                <w:b/>
                <w:bCs/>
                <w:color w:val="000000"/>
                <w:sz w:val="20"/>
                <w:szCs w:val="20"/>
                <w:lang w:val="en-GB" w:eastAsia="en-GB"/>
              </w:rPr>
            </w:pPr>
            <w:r>
              <w:rPr>
                <w:rFonts w:eastAsia="Times New Roman"/>
                <w:b/>
                <w:bCs/>
                <w:color w:val="000000"/>
                <w:sz w:val="20"/>
                <w:szCs w:val="20"/>
                <w:lang w:val="en-GB" w:eastAsia="en-GB"/>
              </w:rPr>
              <w:t>36</w:t>
            </w:r>
          </w:p>
        </w:tc>
        <w:tc>
          <w:tcPr>
            <w:tcW w:w="1035" w:type="dxa"/>
            <w:gridSpan w:val="2"/>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(28-44)</w:t>
            </w:r>
          </w:p>
        </w:tc>
        <w:tc>
          <w:tcPr>
            <w:tcW w:w="620" w:type="dxa"/>
            <w:tcBorders>
              <w:top w:val="single" w:sz="4" w:space="0" w:color="00000A"/>
              <w:bottom w:val="single" w:sz="4" w:space="0" w:color="00000A"/>
              <w:insideH w:val="single" w:sz="4" w:space="0" w:color="00000A"/>
            </w:tcBorders>
            <w:shd w:color="auto" w:fill="auto" w:val="clear"/>
            <w:vAlign w:val="bottom"/>
          </w:tcPr>
          <w:p>
            <w:pPr>
              <w:pStyle w:val="Normal"/>
              <w:rPr>
                <w:rFonts w:eastAsia="Times New Roman"/>
                <w:b/>
                <w:b/>
                <w:bCs/>
                <w:color w:val="000000"/>
                <w:sz w:val="20"/>
                <w:szCs w:val="20"/>
                <w:lang w:val="en-GB" w:eastAsia="en-GB"/>
              </w:rPr>
            </w:pPr>
            <w:r>
              <w:rPr>
                <w:rFonts w:eastAsia="Times New Roman"/>
                <w:b/>
                <w:bCs/>
                <w:color w:val="000000"/>
                <w:sz w:val="20"/>
                <w:szCs w:val="20"/>
                <w:lang w:val="en-GB" w:eastAsia="en-GB"/>
              </w:rPr>
              <w:t> </w:t>
            </w:r>
          </w:p>
        </w:tc>
      </w:tr>
      <w:tr>
        <w:trPr>
          <w:trHeight w:val="300" w:hRule="atLeast"/>
        </w:trPr>
        <w:tc>
          <w:tcPr>
            <w:tcW w:w="14467" w:type="dxa"/>
            <w:gridSpan w:val="19"/>
            <w:tcBorders/>
            <w:shd w:color="auto" w:fill="auto" w:val="clear"/>
            <w:vAlign w:val="bottom"/>
          </w:tcPr>
          <w:p>
            <w:pPr>
              <w:pStyle w:val="Normal"/>
              <w:rPr>
                <w:rFonts w:eastAsia="Times New Roman"/>
                <w:color w:val="000000"/>
                <w:lang w:val="en-GB" w:eastAsia="en-GB"/>
              </w:rPr>
            </w:pPr>
            <w:r>
              <w:rPr>
                <w:i/>
                <w:sz w:val="18"/>
                <w:szCs w:val="18"/>
                <w:lang w:val="en-GB"/>
              </w:rPr>
              <w:t>Note: VL treatment at the PHC consisted of the price of Glucantime and the personnel cost of the injection; capital and recurrent costs could not be estimated. VL treatment at the hospital included only the price of Glucantime as personnel, capital and recurrent costs were included in the category “hospitalization”.</w:t>
            </w:r>
          </w:p>
        </w:tc>
      </w:tr>
    </w:tbl>
    <w:p>
      <w:pPr>
        <w:sectPr>
          <w:footerReference w:type="default" r:id="rId26"/>
          <w:type w:val="nextPage"/>
          <w:pgSz w:orient="landscape" w:w="15840" w:h="12240"/>
          <w:pgMar w:left="1417" w:right="1417" w:header="0" w:top="1701" w:footer="708" w:bottom="1701" w:gutter="0"/>
          <w:pgNumType w:fmt="decimal"/>
          <w:formProt w:val="false"/>
          <w:textDirection w:val="lrTb"/>
          <w:docGrid w:type="default" w:linePitch="360" w:charSpace="4294961151"/>
        </w:sectPr>
      </w:pP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7" w:name="_Toc382138193"/>
      <w:bookmarkEnd w:id="297"/>
      <w:r>
        <w:rPr>
          <w:lang w:val="en-GB"/>
        </w:rPr>
        <w:t>Article 2</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sz w:val="28"/>
          <w:szCs w:val="28"/>
          <w:lang w:val="en-GB"/>
        </w:rPr>
      </w:pPr>
      <w:r>
        <w:rPr>
          <w:rFonts w:ascii="Calibri" w:hAnsi="Calibri" w:asciiTheme="majorHAnsi" w:hAnsiTheme="majorHAnsi"/>
          <w:b/>
          <w:bCs/>
          <w:sz w:val="28"/>
          <w:szCs w:val="28"/>
          <w:lang w:val="en-GB"/>
        </w:rPr>
        <w:t xml:space="preserve">Cost-effectiveness of diagnostic-therapeutic strategies for paediatric visceral leishmaniasis in Morocco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Nabil Tachfouti, Adil Najdi, Elisa Sicuri, Albert Picado</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BMJ Glob Health 2017;</w:t>
      </w:r>
      <w:r>
        <w:rPr>
          <w:rFonts w:ascii="Calibri" w:hAnsi="Calibri" w:asciiTheme="majorHAnsi" w:hAnsiTheme="majorHAnsi"/>
          <w:b/>
          <w:bCs/>
          <w:lang w:val="en-GB"/>
        </w:rPr>
        <w:t>2</w:t>
      </w:r>
      <w:r>
        <w:rPr>
          <w:rFonts w:ascii="Calibri" w:hAnsi="Calibri" w:asciiTheme="majorHAnsi" w:hAnsiTheme="majorHAnsi"/>
          <w:lang w:val="en-GB"/>
        </w:rPr>
        <w:t xml:space="preserve">:e000315. doi:10.1136/ bmjgh-2017-000315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drawing>
          <wp:inline distT="0" distB="0" distL="0" distR="0">
            <wp:extent cx="5753100" cy="8153400"/>
            <wp:effectExtent l="0" t="0" r="0" b="0"/>
            <wp:docPr id="23" name="Imagen 34" descr="Macintosh HD:Users:sergialonso:Documents:Article pages:VL Cost-effect: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Macintosh HD:Users:sergialonso:Documents:Article pages:VL Cost-effect:1_e000315.full.pdf"/>
                    <pic:cNvPicPr>
                      <a:picLocks noChangeAspect="1" noChangeArrowheads="1"/>
                    </pic:cNvPicPr>
                  </pic:nvPicPr>
                  <pic:blipFill>
                    <a:blip r:embed="rId2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4" name="Imagen 35" descr="Macintosh HD:Users:sergialonso:Documents:Article pages:VL Cost-effect:2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Macintosh HD:Users:sergialonso:Documents:Article pages:VL Cost-effect:2_e000315.full.pdf"/>
                    <pic:cNvPicPr>
                      <a:picLocks noChangeAspect="1" noChangeArrowheads="1"/>
                    </pic:cNvPicPr>
                  </pic:nvPicPr>
                  <pic:blipFill>
                    <a:blip r:embed="rId2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5" name="Imagen 36" descr="Macintosh HD:Users:sergialonso:Documents:Article pages:VL Cost-effect:3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6" descr="Macintosh HD:Users:sergialonso:Documents:Article pages:VL Cost-effect:3_e000315.full.pdf"/>
                    <pic:cNvPicPr>
                      <a:picLocks noChangeAspect="1" noChangeArrowheads="1"/>
                    </pic:cNvPicPr>
                  </pic:nvPicPr>
                  <pic:blipFill>
                    <a:blip r:embed="rId2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6" name="Imagen 37" descr="Macintosh HD:Users:sergialonso:Documents:Article pages:VL Cost-effect:4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Macintosh HD:Users:sergialonso:Documents:Article pages:VL Cost-effect:4_e000315.full.pdf"/>
                    <pic:cNvPicPr>
                      <a:picLocks noChangeAspect="1" noChangeArrowheads="1"/>
                    </pic:cNvPicPr>
                  </pic:nvPicPr>
                  <pic:blipFill>
                    <a:blip r:embed="rId3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7" name="Imagen 38" descr="Macintosh HD:Users:sergialonso:Documents:Article pages:VL Cost-effect:5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Macintosh HD:Users:sergialonso:Documents:Article pages:VL Cost-effect:5_e000315.full.pdf"/>
                    <pic:cNvPicPr>
                      <a:picLocks noChangeAspect="1" noChangeArrowheads="1"/>
                    </pic:cNvPicPr>
                  </pic:nvPicPr>
                  <pic:blipFill>
                    <a:blip r:embed="rId3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8" name="Imagen 39" descr="Macintosh HD:Users:sergialonso:Documents:Article pages:VL Cost-effect:6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9" descr="Macintosh HD:Users:sergialonso:Documents:Article pages:VL Cost-effect:6_e000315.full.pdf"/>
                    <pic:cNvPicPr>
                      <a:picLocks noChangeAspect="1" noChangeArrowheads="1"/>
                    </pic:cNvPicPr>
                  </pic:nvPicPr>
                  <pic:blipFill>
                    <a:blip r:embed="rId3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29" name="Imagen 40" descr="Macintosh HD:Users:sergialonso:Documents:Article pages:VL Cost-effect:7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0" descr="Macintosh HD:Users:sergialonso:Documents:Article pages:VL Cost-effect:7_e000315.full.pdf"/>
                    <pic:cNvPicPr>
                      <a:picLocks noChangeAspect="1" noChangeArrowheads="1"/>
                    </pic:cNvPicPr>
                  </pic:nvPicPr>
                  <pic:blipFill>
                    <a:blip r:embed="rId3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0" name="Imagen 41" descr="Macintosh HD:Users:sergialonso:Documents:Article pages:VL Cost-effect:8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1" descr="Macintosh HD:Users:sergialonso:Documents:Article pages:VL Cost-effect:8_e000315.full.pdf"/>
                    <pic:cNvPicPr>
                      <a:picLocks noChangeAspect="1" noChangeArrowheads="1"/>
                    </pic:cNvPicPr>
                  </pic:nvPicPr>
                  <pic:blipFill>
                    <a:blip r:embed="rId3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1" name="Imagen 42" descr="Macintosh HD:Users:sergialonso:Documents:Article pages:VL Cost-effect:9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2" descr="Macintosh HD:Users:sergialonso:Documents:Article pages:VL Cost-effect:9_e000315.full.pdf"/>
                    <pic:cNvPicPr>
                      <a:picLocks noChangeAspect="1" noChangeArrowheads="1"/>
                    </pic:cNvPicPr>
                  </pic:nvPicPr>
                  <pic:blipFill>
                    <a:blip r:embed="rId3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2" name="Imagen 43" descr="Macintosh HD:Users:sergialonso:Documents:Article pages:VL Cost-effect:910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3" descr="Macintosh HD:Users:sergialonso:Documents:Article pages:VL Cost-effect:910_e000315.full.pdf"/>
                    <pic:cNvPicPr>
                      <a:picLocks noChangeAspect="1" noChangeArrowheads="1"/>
                    </pic:cNvPicPr>
                  </pic:nvPicPr>
                  <pic:blipFill>
                    <a:blip r:embed="rId3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3" name="Imagen 44" descr="Macintosh HD:Users:sergialonso:Documents:Article pages:VL Cost-effect:911_e000315.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4" descr="Macintosh HD:Users:sergialonso:Documents:Article pages:VL Cost-effect:911_e000315.full.pdf"/>
                    <pic:cNvPicPr>
                      <a:picLocks noChangeAspect="1" noChangeArrowheads="1"/>
                    </pic:cNvPicPr>
                  </pic:nvPicPr>
                  <pic:blipFill>
                    <a:blip r:embed="rId37"/>
                    <a:stretch>
                      <a:fillRect/>
                    </a:stretch>
                  </pic:blipFill>
                  <pic:spPr bwMode="auto">
                    <a:xfrm>
                      <a:off x="0" y="0"/>
                      <a:ext cx="5753100" cy="8153400"/>
                    </a:xfrm>
                    <a:prstGeom prst="rect">
                      <a:avLst/>
                    </a:prstGeom>
                  </pic:spPr>
                </pic:pic>
              </a:graphicData>
            </a:graphic>
          </wp:inline>
        </w:drawing>
      </w:r>
    </w:p>
    <w:p>
      <w:pPr>
        <w:pStyle w:val="Normal"/>
        <w:spacing w:lineRule="auto" w:line="360"/>
        <w:rPr>
          <w:sz w:val="22"/>
          <w:szCs w:val="22"/>
          <w:lang w:val="en-GB"/>
        </w:rPr>
      </w:pPr>
      <w:r>
        <w:rPr>
          <w:b/>
          <w:sz w:val="22"/>
          <w:szCs w:val="22"/>
          <w:lang w:val="en-GB"/>
        </w:rPr>
        <w:t>Supplementary material</w:t>
      </w:r>
    </w:p>
    <w:p>
      <w:pPr>
        <w:pStyle w:val="Normal"/>
        <w:rPr>
          <w:b/>
          <w:b/>
          <w:sz w:val="22"/>
          <w:szCs w:val="22"/>
          <w:lang w:val="en-GB"/>
        </w:rPr>
      </w:pPr>
      <w:r>
        <w:rPr>
          <w:b/>
          <w:sz w:val="22"/>
          <w:szCs w:val="22"/>
          <w:lang w:val="en-GB"/>
        </w:rPr>
        <w:t>Annex S1</w:t>
      </w:r>
    </w:p>
    <w:p>
      <w:pPr>
        <w:pStyle w:val="Normal"/>
        <w:rPr>
          <w:sz w:val="22"/>
          <w:szCs w:val="22"/>
          <w:lang w:val="en-GB"/>
        </w:rPr>
      </w:pPr>
      <w:r>
        <w:rPr>
          <w:sz w:val="22"/>
          <w:szCs w:val="22"/>
          <w:lang w:val="en-GB"/>
        </w:rPr>
        <w:t>We estimated the mortality associated to SB and L-AmB treatment to calculate the health outcome of VL suspects in the cost-effectiveness model. A literature search on mortality associated to both treatments was undertaken to compute the case fatality rate for both regimens by calculating the total number of deaths over the total number of VL patients recorded. A beta distribution based on the reported cases was generated for the cost-effectiveness model. Two-day course L-AmB mortality rate was assumed to be minimum as no death cases were reported in the literature at the moment of the study.</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SB treatment:</w:t>
      </w:r>
    </w:p>
    <w:tbl>
      <w:tblPr>
        <w:tblW w:w="7308"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694"/>
        <w:gridCol w:w="1036"/>
        <w:gridCol w:w="955"/>
        <w:gridCol w:w="1311"/>
        <w:gridCol w:w="1312"/>
      </w:tblGrid>
      <w:tr>
        <w:trPr>
          <w:trHeight w:val="280" w:hRule="atLeast"/>
        </w:trPr>
        <w:tc>
          <w:tcPr>
            <w:tcW w:w="2694"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0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1311"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312"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Belhadj et al, 1996</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50</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Benelbarhdadi et al, 1995</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33.33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757.44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Besbes et al, 1994</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221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9.05</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10.49</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Harrat et al, 1992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17</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285</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5.96</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0.02</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Hassani et al, 2010</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9.68</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14.94</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Houda, 2011</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73</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4.11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2.90</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Idrissi et al, 2007</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209</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2.87</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8.65</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Zait et al, 2012</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71</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5.63</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0.03</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52</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0.00</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33.77</w:t>
            </w:r>
          </w:p>
        </w:tc>
      </w:tr>
      <w:tr>
        <w:trPr>
          <w:trHeight w:val="280" w:hRule="atLeast"/>
        </w:trPr>
        <w:tc>
          <w:tcPr>
            <w:tcW w:w="2694"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036"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58</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998</w:t>
            </w:r>
          </w:p>
        </w:tc>
        <w:tc>
          <w:tcPr>
            <w:tcW w:w="131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5.81</w:t>
            </w:r>
          </w:p>
        </w:tc>
        <w:tc>
          <w:tcPr>
            <w:tcW w:w="1312"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828.29</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SB=0.0581 (95% CI 0.0416–0.0772) obtained from a beta distribution with parameters a=46.065 and b=747.28.</w:t>
      </w:r>
    </w:p>
    <w:p>
      <w:pPr>
        <w:pStyle w:val="Normal"/>
        <w:rPr>
          <w:sz w:val="22"/>
          <w:szCs w:val="22"/>
          <w:lang w:val="en-GB"/>
        </w:rPr>
      </w:pPr>
      <w:r>
        <w:rPr>
          <w:sz w:val="22"/>
          <w:szCs w:val="22"/>
          <w:lang w:val="en-GB"/>
        </w:rPr>
      </w:r>
    </w:p>
    <w:p>
      <w:pPr>
        <w:pStyle w:val="Normal"/>
        <w:rPr>
          <w:sz w:val="22"/>
          <w:szCs w:val="22"/>
          <w:lang w:val="en-GB"/>
        </w:rPr>
      </w:pPr>
      <w:r>
        <w:rPr>
          <w:sz w:val="22"/>
          <w:szCs w:val="22"/>
          <w:lang w:val="en-GB"/>
        </w:rPr>
        <w:t>Death cases reported associated to six-day course L-AmB regimen treatment:</w:t>
      </w:r>
    </w:p>
    <w:tbl>
      <w:tblPr>
        <w:tblW w:w="7603" w:type="dxa"/>
        <w:jc w:val="left"/>
        <w:tblInd w:w="70" w:type="dxa"/>
        <w:tblBorders>
          <w:bottom w:val="single" w:sz="4" w:space="0" w:color="00000A"/>
          <w:insideH w:val="single" w:sz="4" w:space="0" w:color="00000A"/>
        </w:tblBorders>
        <w:tblCellMar>
          <w:top w:w="0" w:type="dxa"/>
          <w:left w:w="70" w:type="dxa"/>
          <w:bottom w:w="0" w:type="dxa"/>
          <w:right w:w="70" w:type="dxa"/>
        </w:tblCellMar>
        <w:tblLook w:val="04a0" w:noVBand="1" w:noHBand="0" w:lastColumn="0" w:firstColumn="1" w:lastRow="0" w:firstRow="1"/>
      </w:tblPr>
      <w:tblGrid>
        <w:gridCol w:w="2975"/>
        <w:gridCol w:w="1560"/>
        <w:gridCol w:w="955"/>
        <w:gridCol w:w="977"/>
        <w:gridCol w:w="1136"/>
      </w:tblGrid>
      <w:tr>
        <w:trPr>
          <w:trHeight w:val="280" w:hRule="atLeast"/>
        </w:trPr>
        <w:tc>
          <w:tcPr>
            <w:tcW w:w="297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 </w:t>
            </w:r>
            <w:r>
              <w:rPr>
                <w:sz w:val="22"/>
                <w:szCs w:val="22"/>
                <w:lang w:val="en-GB"/>
              </w:rPr>
              <w:t>Articles</w:t>
            </w:r>
          </w:p>
        </w:tc>
        <w:tc>
          <w:tcPr>
            <w:tcW w:w="1560" w:type="dxa"/>
            <w:tcBorders>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Deaths</w:t>
            </w:r>
          </w:p>
        </w:tc>
        <w:tc>
          <w:tcPr>
            <w:tcW w:w="955"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N</w:t>
            </w:r>
          </w:p>
        </w:tc>
        <w:tc>
          <w:tcPr>
            <w:tcW w:w="977"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Mortality</w:t>
            </w:r>
          </w:p>
        </w:tc>
        <w:tc>
          <w:tcPr>
            <w:tcW w:w="1136" w:type="dxa"/>
            <w:tcBorders>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SD</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Kafetzis et al, 2005</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Cascio et al, 2004</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164</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Syriopoulou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6.67</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34.88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Davidson et al, 1999</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13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Figueras Nadal et al, 2006</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20</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t>Minodier et al, 2003</w:t>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32</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0.58</w:t>
            </w:r>
          </w:p>
        </w:tc>
      </w:tr>
      <w:tr>
        <w:trPr>
          <w:trHeight w:val="280" w:hRule="atLeast"/>
        </w:trPr>
        <w:tc>
          <w:tcPr>
            <w:tcW w:w="2975"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1560" w:type="dxa"/>
            <w:tcBorders>
              <w:top w:val="single" w:sz="4" w:space="0" w:color="00000A"/>
              <w:bottom w:val="single" w:sz="4" w:space="0" w:color="00000A"/>
              <w:insideH w:val="single" w:sz="4" w:space="0" w:color="00000A"/>
            </w:tcBorders>
            <w:shd w:color="auto" w:fill="auto" w:val="clear"/>
            <w:vAlign w:val="bottom"/>
          </w:tcPr>
          <w:p>
            <w:pPr>
              <w:pStyle w:val="Normal"/>
              <w:rPr>
                <w:sz w:val="22"/>
                <w:szCs w:val="22"/>
                <w:lang w:val="en-GB"/>
              </w:rPr>
            </w:pPr>
            <w:r>
              <w:rPr>
                <w:sz w:val="22"/>
                <w:szCs w:val="22"/>
                <w:lang w:val="en-GB"/>
              </w:rPr>
            </w:r>
          </w:p>
        </w:tc>
        <w:tc>
          <w:tcPr>
            <w:tcW w:w="955"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263</w:t>
            </w:r>
          </w:p>
        </w:tc>
        <w:tc>
          <w:tcPr>
            <w:tcW w:w="977"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0.76</w:t>
            </w:r>
          </w:p>
        </w:tc>
        <w:tc>
          <w:tcPr>
            <w:tcW w:w="1136"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before="200" w:after="0"/>
              <w:outlineLvl w:val="2"/>
              <w:rPr>
                <w:sz w:val="22"/>
                <w:szCs w:val="22"/>
                <w:lang w:val="en-GB"/>
              </w:rPr>
            </w:pPr>
            <w:r>
              <w:rPr>
                <w:sz w:val="22"/>
                <w:szCs w:val="22"/>
                <w:lang w:val="en-GB"/>
              </w:rPr>
              <w:t>37.77</w:t>
            </w:r>
          </w:p>
        </w:tc>
      </w:tr>
    </w:tbl>
    <w:p>
      <w:pPr>
        <w:pStyle w:val="Normal"/>
        <w:rPr>
          <w:sz w:val="22"/>
          <w:szCs w:val="22"/>
          <w:lang w:val="en-GB"/>
        </w:rPr>
      </w:pPr>
      <w:r>
        <w:rPr>
          <w:sz w:val="22"/>
          <w:szCs w:val="22"/>
          <w:lang w:val="en-GB"/>
        </w:rPr>
      </w:r>
    </w:p>
    <w:p>
      <w:pPr>
        <w:pStyle w:val="Normal"/>
        <w:rPr>
          <w:sz w:val="22"/>
          <w:szCs w:val="22"/>
          <w:lang w:val="en-GB"/>
        </w:rPr>
      </w:pPr>
      <w:r>
        <w:rPr>
          <w:sz w:val="22"/>
          <w:szCs w:val="22"/>
          <w:lang w:val="en-GB"/>
        </w:rPr>
        <w:t>Mortality rate of six-day course L-AmB= 0.0076 (95% CI 0.0069–0.0084) obtained from a beta distribution with parameters a=396.95 and b=51,833.53.</w:t>
      </w:r>
    </w:p>
    <w:p>
      <w:pPr>
        <w:pStyle w:val="Normal"/>
        <w:rPr>
          <w:b/>
          <w:b/>
          <w:lang w:val="en-GB"/>
        </w:rPr>
      </w:pPr>
      <w:r>
        <w:rPr>
          <w:b/>
          <w:lang w:val="en-GB"/>
        </w:rPr>
      </w:r>
    </w:p>
    <w:p>
      <w:pPr>
        <w:pStyle w:val="Normal"/>
        <w:rPr>
          <w:sz w:val="22"/>
          <w:szCs w:val="22"/>
          <w:u w:val="single"/>
          <w:lang w:val="en-GB"/>
        </w:rPr>
      </w:pPr>
      <w:r>
        <w:rPr>
          <w:sz w:val="22"/>
          <w:szCs w:val="22"/>
          <w:u w:val="single"/>
          <w:lang w:val="en-GB"/>
        </w:rPr>
        <w:t>References</w:t>
      </w:r>
    </w:p>
    <w:p>
      <w:pPr>
        <w:pStyle w:val="Normal"/>
        <w:rPr>
          <w:sz w:val="20"/>
          <w:szCs w:val="20"/>
          <w:lang w:val="en-GB"/>
        </w:rPr>
      </w:pPr>
      <w:r>
        <w:rPr>
          <w:sz w:val="20"/>
          <w:szCs w:val="20"/>
          <w:lang w:val="en-GB"/>
        </w:rPr>
        <w:t xml:space="preserve">Belhadj S, Djaiet-Baraket Z, Jemli B, </w:t>
      </w:r>
      <w:r>
        <w:rPr>
          <w:i/>
          <w:iCs/>
          <w:sz w:val="20"/>
          <w:szCs w:val="20"/>
          <w:lang w:val="en-GB"/>
        </w:rPr>
        <w:t>et al.</w:t>
      </w:r>
      <w:r>
        <w:rPr>
          <w:sz w:val="20"/>
          <w:szCs w:val="20"/>
          <w:lang w:val="en-GB"/>
        </w:rPr>
        <w:t xml:space="preserve"> Leishmanioses viscérales et cutanées du nord. Étude rétroactive des cas diagnostiqués à l’hôpital La Rabta de Tunis. </w:t>
      </w:r>
      <w:r>
        <w:rPr>
          <w:i/>
          <w:iCs/>
          <w:sz w:val="20"/>
          <w:szCs w:val="20"/>
          <w:lang w:val="en-GB"/>
        </w:rPr>
        <w:t>Bull la Société Pathol Exot</w:t>
      </w:r>
      <w:r>
        <w:rPr>
          <w:sz w:val="20"/>
          <w:szCs w:val="20"/>
          <w:lang w:val="en-GB"/>
        </w:rPr>
        <w:t xml:space="preserve"> 1996;</w:t>
      </w:r>
      <w:r>
        <w:rPr>
          <w:bCs/>
          <w:sz w:val="20"/>
          <w:szCs w:val="20"/>
          <w:lang w:val="en-GB"/>
        </w:rPr>
        <w:t>89</w:t>
      </w:r>
      <w:r>
        <w:rPr>
          <w:sz w:val="20"/>
          <w:szCs w:val="20"/>
          <w:lang w:val="en-GB"/>
        </w:rPr>
        <w:t>:269–73.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Benelbarhdadi I, Ajana FZ, Benazouz M, </w:t>
      </w:r>
      <w:r>
        <w:rPr>
          <w:i/>
          <w:iCs/>
          <w:sz w:val="20"/>
          <w:szCs w:val="20"/>
          <w:lang w:val="en-GB"/>
        </w:rPr>
        <w:t>et al.</w:t>
      </w:r>
      <w:r>
        <w:rPr>
          <w:sz w:val="20"/>
          <w:szCs w:val="20"/>
          <w:lang w:val="en-GB"/>
        </w:rPr>
        <w:t xml:space="preserve"> La leishmaniose viscerale chez l’adulte. A propos de 6 cas. </w:t>
      </w:r>
      <w:r>
        <w:rPr>
          <w:i/>
          <w:iCs/>
          <w:sz w:val="20"/>
          <w:szCs w:val="20"/>
          <w:lang w:val="en-GB"/>
        </w:rPr>
        <w:t>Médecine du Maghreb</w:t>
      </w:r>
      <w:r>
        <w:rPr>
          <w:sz w:val="20"/>
          <w:szCs w:val="20"/>
          <w:lang w:val="en-GB"/>
        </w:rPr>
        <w:t xml:space="preserve"> 1995;</w:t>
      </w:r>
      <w:r>
        <w:rPr>
          <w:bCs/>
          <w:sz w:val="20"/>
          <w:szCs w:val="20"/>
          <w:lang w:val="en-GB"/>
        </w:rPr>
        <w:t>50</w:t>
      </w:r>
      <w:r>
        <w:rPr>
          <w:sz w:val="20"/>
          <w:szCs w:val="20"/>
          <w:lang w:val="en-GB"/>
        </w:rPr>
        <w:t>:23–6.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Besbes A, Pousse H, Ben Said M, </w:t>
      </w:r>
      <w:r>
        <w:rPr>
          <w:i/>
          <w:iCs/>
          <w:sz w:val="20"/>
          <w:szCs w:val="20"/>
          <w:lang w:val="en-GB"/>
        </w:rPr>
        <w:t>et al.</w:t>
      </w:r>
      <w:r>
        <w:rPr>
          <w:sz w:val="20"/>
          <w:szCs w:val="20"/>
          <w:lang w:val="en-GB"/>
        </w:rPr>
        <w:t xml:space="preserve"> Leishmanioses viscérales infantiles du centre tunisien (221 cas). </w:t>
      </w:r>
      <w:r>
        <w:rPr>
          <w:i/>
          <w:iCs/>
          <w:sz w:val="20"/>
          <w:szCs w:val="20"/>
          <w:lang w:val="en-GB"/>
        </w:rPr>
        <w:t>Médecine Mal Infect</w:t>
      </w:r>
      <w:r>
        <w:rPr>
          <w:sz w:val="20"/>
          <w:szCs w:val="20"/>
          <w:lang w:val="en-GB"/>
        </w:rPr>
        <w:t xml:space="preserve"> 1994;</w:t>
      </w:r>
      <w:r>
        <w:rPr>
          <w:bCs/>
          <w:sz w:val="20"/>
          <w:szCs w:val="20"/>
          <w:lang w:val="en-GB"/>
        </w:rPr>
        <w:t>24</w:t>
      </w:r>
      <w:r>
        <w:rPr>
          <w:sz w:val="20"/>
          <w:szCs w:val="20"/>
          <w:lang w:val="en-GB"/>
        </w:rPr>
        <w:t>:628–34.</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Harrat Z, Berrouane Y, Ben Abdesslam S, </w:t>
      </w:r>
      <w:r>
        <w:rPr>
          <w:i/>
          <w:iCs/>
          <w:sz w:val="20"/>
          <w:szCs w:val="20"/>
          <w:lang w:val="en-GB"/>
        </w:rPr>
        <w:t>et al.</w:t>
      </w:r>
      <w:r>
        <w:rPr>
          <w:sz w:val="20"/>
          <w:szCs w:val="20"/>
          <w:lang w:val="en-GB"/>
        </w:rPr>
        <w:t xml:space="preserve"> La leishmaniose viscerale en Algerie. Evolution de la leishmaniose viscerale dans le foyer de Grande Kabylie. </w:t>
      </w:r>
      <w:r>
        <w:rPr>
          <w:i/>
          <w:iCs/>
          <w:sz w:val="20"/>
          <w:szCs w:val="20"/>
          <w:lang w:val="en-GB"/>
        </w:rPr>
        <w:t>Arch Inst Pasteur d’Algerie</w:t>
      </w:r>
      <w:r>
        <w:rPr>
          <w:sz w:val="20"/>
          <w:szCs w:val="20"/>
          <w:lang w:val="en-GB"/>
        </w:rPr>
        <w:t xml:space="preserve"> 1992;</w:t>
      </w:r>
      <w:r>
        <w:rPr>
          <w:bCs/>
          <w:sz w:val="20"/>
          <w:szCs w:val="20"/>
          <w:lang w:val="en-GB"/>
        </w:rPr>
        <w:t>58</w:t>
      </w:r>
      <w:r>
        <w:rPr>
          <w:sz w:val="20"/>
          <w:szCs w:val="20"/>
          <w:lang w:val="en-GB"/>
        </w:rPr>
        <w:t>:255–72.</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Hassani MA, Lahlou H, Alami M, </w:t>
      </w:r>
      <w:r>
        <w:rPr>
          <w:i/>
          <w:iCs/>
          <w:sz w:val="20"/>
          <w:szCs w:val="20"/>
          <w:lang w:val="en-GB"/>
        </w:rPr>
        <w:t>et al.</w:t>
      </w:r>
      <w:r>
        <w:rPr>
          <w:sz w:val="20"/>
          <w:szCs w:val="20"/>
          <w:lang w:val="en-GB"/>
        </w:rPr>
        <w:t xml:space="preserve"> Aspects biologiques de la leishmaniose viscérale infantile. À propos de 31 cas diagnostiqués sur 10 mois au laboratoire d’hématologie du CHU Hassan II de Fès (Maroc). </w:t>
      </w:r>
      <w:r>
        <w:rPr>
          <w:i/>
          <w:iCs/>
          <w:sz w:val="20"/>
          <w:szCs w:val="20"/>
          <w:lang w:val="en-GB"/>
        </w:rPr>
        <w:t>Rev Francoph des Lab</w:t>
      </w:r>
      <w:r>
        <w:rPr>
          <w:sz w:val="20"/>
          <w:szCs w:val="20"/>
          <w:lang w:val="en-GB"/>
        </w:rPr>
        <w:t xml:space="preserve"> 2011;:55–60.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Houda T. La leishmaniose viscerale infantile (A propos de 73 cas). </w:t>
      </w:r>
      <w:r>
        <w:rPr>
          <w:i/>
          <w:iCs/>
          <w:sz w:val="20"/>
          <w:szCs w:val="20"/>
          <w:lang w:val="en-GB"/>
        </w:rPr>
        <w:t>Arch Pediatr</w:t>
      </w:r>
      <w:r>
        <w:rPr>
          <w:sz w:val="20"/>
          <w:szCs w:val="20"/>
          <w:lang w:val="en-GB"/>
        </w:rPr>
        <w:t xml:space="preserve"> 2011;</w:t>
      </w:r>
      <w:r>
        <w:rPr>
          <w:bCs/>
          <w:sz w:val="20"/>
          <w:szCs w:val="20"/>
          <w:lang w:val="en-GB"/>
        </w:rPr>
        <w:t>Thèse N</w:t>
      </w:r>
      <w:r>
        <w:rPr>
          <w:bCs/>
          <w:sz w:val="20"/>
          <w:szCs w:val="20"/>
          <w:vertAlign w:val="superscript"/>
          <w:lang w:val="en-GB"/>
        </w:rPr>
        <w:t>o</w:t>
      </w:r>
      <w:r>
        <w:rPr>
          <w:bCs/>
          <w:sz w:val="20"/>
          <w:szCs w:val="20"/>
          <w:lang w:val="en-GB"/>
        </w:rPr>
        <w:t xml:space="preserve"> 0</w:t>
      </w:r>
      <w:r>
        <w:rPr>
          <w:sz w:val="20"/>
          <w:szCs w:val="20"/>
          <w:lang w:val="en-GB"/>
        </w:rPr>
        <w:t>.</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Lakhdar Idrissi M, El Ouardi M, Atmani S, </w:t>
      </w:r>
      <w:r>
        <w:rPr>
          <w:i/>
          <w:iCs/>
          <w:sz w:val="20"/>
          <w:szCs w:val="20"/>
          <w:lang w:val="en-GB"/>
        </w:rPr>
        <w:t>et al.</w:t>
      </w:r>
      <w:r>
        <w:rPr>
          <w:sz w:val="20"/>
          <w:szCs w:val="20"/>
          <w:lang w:val="en-GB"/>
        </w:rPr>
        <w:t xml:space="preserve"> La leishmaniose viscérale infantile: à propos de 209 cas. </w:t>
      </w:r>
      <w:r>
        <w:rPr>
          <w:i/>
          <w:iCs/>
          <w:sz w:val="20"/>
          <w:szCs w:val="20"/>
          <w:lang w:val="en-GB"/>
        </w:rPr>
        <w:t>J Pediatr Puériculture</w:t>
      </w:r>
      <w:r>
        <w:rPr>
          <w:sz w:val="20"/>
          <w:szCs w:val="20"/>
          <w:lang w:val="en-GB"/>
        </w:rPr>
        <w:t xml:space="preserve"> 2007;</w:t>
      </w:r>
      <w:r>
        <w:rPr>
          <w:bCs/>
          <w:sz w:val="20"/>
          <w:szCs w:val="20"/>
          <w:lang w:val="en-GB"/>
        </w:rPr>
        <w:t>20</w:t>
      </w:r>
      <w:r>
        <w:rPr>
          <w:sz w:val="20"/>
          <w:szCs w:val="20"/>
          <w:lang w:val="en-GB"/>
        </w:rPr>
        <w:t>:136–41.</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Zait H, Ferhani Y, Achir I, </w:t>
      </w:r>
      <w:r>
        <w:rPr>
          <w:i/>
          <w:iCs/>
          <w:sz w:val="20"/>
          <w:szCs w:val="20"/>
          <w:lang w:val="en-GB"/>
        </w:rPr>
        <w:t>et al.</w:t>
      </w:r>
      <w:r>
        <w:rPr>
          <w:sz w:val="20"/>
          <w:szCs w:val="20"/>
          <w:lang w:val="en-GB"/>
        </w:rPr>
        <w:t xml:space="preserve"> Étude de 71 cas de leishmaniose viscérale diagnostiqués au CHU Mustapha d’Alger entre 1998 et 2009. </w:t>
      </w:r>
      <w:r>
        <w:rPr>
          <w:i/>
          <w:iCs/>
          <w:sz w:val="20"/>
          <w:szCs w:val="20"/>
          <w:lang w:val="en-GB"/>
        </w:rPr>
        <w:t>Med Mal Infect</w:t>
      </w:r>
      <w:r>
        <w:rPr>
          <w:sz w:val="20"/>
          <w:szCs w:val="20"/>
          <w:lang w:val="en-GB"/>
        </w:rPr>
        <w:t xml:space="preserve"> 2012;</w:t>
      </w:r>
      <w:r>
        <w:rPr>
          <w:bCs/>
          <w:sz w:val="20"/>
          <w:szCs w:val="20"/>
          <w:lang w:val="en-GB"/>
        </w:rPr>
        <w:t>42</w:t>
      </w:r>
      <w:r>
        <w:rPr>
          <w:sz w:val="20"/>
          <w:szCs w:val="20"/>
          <w:lang w:val="en-GB"/>
        </w:rPr>
        <w:t>:119–25.</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Syriopoulou V, Daikos GL, Theodoridou M, </w:t>
      </w:r>
      <w:r>
        <w:rPr>
          <w:i/>
          <w:iCs/>
          <w:sz w:val="20"/>
          <w:szCs w:val="20"/>
          <w:lang w:val="en-GB"/>
        </w:rPr>
        <w:t>et al.</w:t>
      </w:r>
      <w:r>
        <w:rPr>
          <w:sz w:val="20"/>
          <w:szCs w:val="20"/>
          <w:lang w:val="en-GB"/>
        </w:rPr>
        <w:t xml:space="preserve"> Two doses of a lipid formulation of amphotericin B for the treatment of Mediterranean visceral leishmaniasis. </w:t>
      </w:r>
      <w:r>
        <w:rPr>
          <w:i/>
          <w:iCs/>
          <w:sz w:val="20"/>
          <w:szCs w:val="20"/>
          <w:lang w:val="en-GB"/>
        </w:rPr>
        <w:t>Clin Infect Dis</w:t>
      </w:r>
      <w:r>
        <w:rPr>
          <w:sz w:val="20"/>
          <w:szCs w:val="20"/>
          <w:lang w:val="en-GB"/>
        </w:rPr>
        <w:t xml:space="preserve"> 2003;</w:t>
      </w:r>
      <w:r>
        <w:rPr>
          <w:bCs/>
          <w:sz w:val="20"/>
          <w:szCs w:val="20"/>
          <w:lang w:val="en-GB"/>
        </w:rPr>
        <w:t>36</w:t>
      </w:r>
      <w:r>
        <w:rPr>
          <w:sz w:val="20"/>
          <w:szCs w:val="20"/>
          <w:lang w:val="en-GB"/>
        </w:rPr>
        <w:t>:560–6</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Kafetzis D a., Velissariou IM, Stabouli S, </w:t>
      </w:r>
      <w:r>
        <w:rPr>
          <w:i/>
          <w:iCs/>
          <w:sz w:val="20"/>
          <w:szCs w:val="20"/>
          <w:lang w:val="en-GB"/>
        </w:rPr>
        <w:t>et al.</w:t>
      </w:r>
      <w:r>
        <w:rPr>
          <w:sz w:val="20"/>
          <w:szCs w:val="20"/>
          <w:lang w:val="en-GB"/>
        </w:rPr>
        <w:t xml:space="preserve"> Treatment of paediatric visceral leishmaniasis: Amphotericin B or pentavalent antimony compounds? </w:t>
      </w:r>
      <w:r>
        <w:rPr>
          <w:i/>
          <w:iCs/>
          <w:sz w:val="20"/>
          <w:szCs w:val="20"/>
          <w:lang w:val="en-GB"/>
        </w:rPr>
        <w:t>Int J Antimicrob Agents</w:t>
      </w:r>
      <w:r>
        <w:rPr>
          <w:sz w:val="20"/>
          <w:szCs w:val="20"/>
          <w:lang w:val="en-GB"/>
        </w:rPr>
        <w:t xml:space="preserve"> 2005;</w:t>
      </w:r>
      <w:r>
        <w:rPr>
          <w:bCs/>
          <w:sz w:val="20"/>
          <w:szCs w:val="20"/>
          <w:lang w:val="en-GB"/>
        </w:rPr>
        <w:t>25</w:t>
      </w:r>
      <w:r>
        <w:rPr>
          <w:sz w:val="20"/>
          <w:szCs w:val="20"/>
          <w:lang w:val="en-GB"/>
        </w:rPr>
        <w:t>:26–30.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Cascio A, di Martino L, Occorsio P, </w:t>
      </w:r>
      <w:r>
        <w:rPr>
          <w:i/>
          <w:iCs/>
          <w:sz w:val="20"/>
          <w:szCs w:val="20"/>
          <w:lang w:val="en-GB"/>
        </w:rPr>
        <w:t>et al.</w:t>
      </w:r>
      <w:r>
        <w:rPr>
          <w:sz w:val="20"/>
          <w:szCs w:val="20"/>
          <w:lang w:val="en-GB"/>
        </w:rPr>
        <w:t xml:space="preserve"> A 6 day course of liposomal amphotericin B in the treatment of infantile visceral leishmaniasis: The Italian experience. </w:t>
      </w:r>
      <w:r>
        <w:rPr>
          <w:i/>
          <w:iCs/>
          <w:sz w:val="20"/>
          <w:szCs w:val="20"/>
          <w:lang w:val="en-GB"/>
        </w:rPr>
        <w:t>J Antimicrob Chemother</w:t>
      </w:r>
      <w:r>
        <w:rPr>
          <w:sz w:val="20"/>
          <w:szCs w:val="20"/>
          <w:lang w:val="en-GB"/>
        </w:rPr>
        <w:t xml:space="preserve"> 2004;</w:t>
      </w:r>
      <w:r>
        <w:rPr>
          <w:bCs/>
          <w:sz w:val="20"/>
          <w:szCs w:val="20"/>
          <w:lang w:val="en-GB"/>
        </w:rPr>
        <w:t>54</w:t>
      </w:r>
      <w:r>
        <w:rPr>
          <w:sz w:val="20"/>
          <w:szCs w:val="20"/>
          <w:lang w:val="en-GB"/>
        </w:rPr>
        <w:t>:217–20.</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Davidson RN, di Martino L, Gradoni L, </w:t>
      </w:r>
      <w:r>
        <w:rPr>
          <w:i/>
          <w:iCs/>
          <w:sz w:val="20"/>
          <w:szCs w:val="20"/>
          <w:lang w:val="en-GB"/>
        </w:rPr>
        <w:t>et al.</w:t>
      </w:r>
      <w:r>
        <w:rPr>
          <w:sz w:val="20"/>
          <w:szCs w:val="20"/>
          <w:lang w:val="en-GB"/>
        </w:rPr>
        <w:t xml:space="preserve"> Short-course treatment of visceral leishmaniasis with liposomal amphotericin B (AmBisome). </w:t>
      </w:r>
      <w:r>
        <w:rPr>
          <w:i/>
          <w:iCs/>
          <w:sz w:val="20"/>
          <w:szCs w:val="20"/>
          <w:lang w:val="en-GB"/>
        </w:rPr>
        <w:t>Clin Infect Dis</w:t>
      </w:r>
      <w:r>
        <w:rPr>
          <w:sz w:val="20"/>
          <w:szCs w:val="20"/>
          <w:lang w:val="en-GB"/>
        </w:rPr>
        <w:t xml:space="preserve"> 1996;</w:t>
      </w:r>
      <w:r>
        <w:rPr>
          <w:bCs/>
          <w:sz w:val="20"/>
          <w:szCs w:val="20"/>
          <w:lang w:val="en-GB"/>
        </w:rPr>
        <w:t>22</w:t>
      </w:r>
      <w:r>
        <w:rPr>
          <w:sz w:val="20"/>
          <w:szCs w:val="20"/>
          <w:lang w:val="en-GB"/>
        </w:rPr>
        <w:t>:938–43.</w:t>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t xml:space="preserve">Minodier P, Robert S, Noël G, </w:t>
      </w:r>
      <w:r>
        <w:rPr>
          <w:i/>
          <w:iCs/>
          <w:sz w:val="20"/>
          <w:szCs w:val="20"/>
          <w:lang w:val="en-GB"/>
        </w:rPr>
        <w:t>et al.</w:t>
      </w:r>
      <w:r>
        <w:rPr>
          <w:sz w:val="20"/>
          <w:szCs w:val="20"/>
          <w:lang w:val="en-GB"/>
        </w:rPr>
        <w:t xml:space="preserve"> Amphotéricine B liposomale en première intention dans la leishmaniose viscérale infantile en région Provence-Alpes- Côte-d’Azur-Corse. </w:t>
      </w:r>
      <w:r>
        <w:rPr>
          <w:i/>
          <w:iCs/>
          <w:sz w:val="20"/>
          <w:szCs w:val="20"/>
          <w:lang w:val="en-GB"/>
        </w:rPr>
        <w:t>Arch Pédiatrie</w:t>
      </w:r>
      <w:r>
        <w:rPr>
          <w:sz w:val="20"/>
          <w:szCs w:val="20"/>
          <w:lang w:val="en-GB"/>
        </w:rPr>
        <w:t xml:space="preserve"> 2005;</w:t>
      </w:r>
      <w:r>
        <w:rPr>
          <w:bCs/>
          <w:sz w:val="20"/>
          <w:szCs w:val="20"/>
          <w:lang w:val="en-GB"/>
        </w:rPr>
        <w:t>12</w:t>
      </w:r>
      <w:r>
        <w:rPr>
          <w:sz w:val="20"/>
          <w:szCs w:val="20"/>
          <w:lang w:val="en-GB"/>
        </w:rPr>
        <w:t>:1102–8.</w:t>
      </w:r>
    </w:p>
    <w:p>
      <w:pPr>
        <w:pStyle w:val="Normal"/>
        <w:rPr>
          <w:sz w:val="20"/>
          <w:szCs w:val="20"/>
          <w:lang w:val="en-GB"/>
        </w:rPr>
      </w:pPr>
      <w:r>
        <w:rPr>
          <w:sz w:val="20"/>
          <w:szCs w:val="20"/>
          <w:lang w:val="en-GB"/>
        </w:rPr>
      </w:r>
    </w:p>
    <w:p>
      <w:pPr>
        <w:pStyle w:val="Normal"/>
        <w:rPr>
          <w:b/>
          <w:b/>
          <w:lang w:val="en-GB"/>
        </w:rPr>
      </w:pPr>
      <w:r>
        <w:rPr>
          <w:sz w:val="20"/>
          <w:szCs w:val="20"/>
          <w:lang w:val="en-GB"/>
        </w:rPr>
        <w:t xml:space="preserve">Figueras Nadal MC, Garcia de Miguel MJ, Asensi Botet F, </w:t>
      </w:r>
      <w:r>
        <w:rPr>
          <w:i/>
          <w:iCs/>
          <w:sz w:val="20"/>
          <w:szCs w:val="20"/>
          <w:lang w:val="en-GB"/>
        </w:rPr>
        <w:t>et al.</w:t>
      </w:r>
      <w:r>
        <w:rPr>
          <w:sz w:val="20"/>
          <w:szCs w:val="20"/>
          <w:lang w:val="en-GB"/>
        </w:rPr>
        <w:t xml:space="preserve"> Short course treatment for visceral leishmaniasis with liposomal amphotericin B in immunocompetent patients. </w:t>
      </w:r>
      <w:r>
        <w:rPr>
          <w:i/>
          <w:iCs/>
          <w:sz w:val="20"/>
          <w:szCs w:val="20"/>
          <w:lang w:val="en-GB"/>
        </w:rPr>
        <w:t>An Pediatr (Barcelona, Spain 2003)</w:t>
      </w:r>
      <w:r>
        <w:rPr>
          <w:sz w:val="20"/>
          <w:szCs w:val="20"/>
          <w:lang w:val="en-GB"/>
        </w:rPr>
        <w:t xml:space="preserve"> 2003;</w:t>
      </w:r>
      <w:r>
        <w:rPr>
          <w:bCs/>
          <w:sz w:val="20"/>
          <w:szCs w:val="20"/>
          <w:lang w:val="en-GB"/>
        </w:rPr>
        <w:t>59</w:t>
      </w:r>
      <w:r>
        <w:rPr>
          <w:sz w:val="20"/>
          <w:szCs w:val="20"/>
          <w:lang w:val="en-GB"/>
        </w:rPr>
        <w:t>.</w:t>
      </w:r>
      <w:r>
        <w:br w:type="page"/>
      </w:r>
    </w:p>
    <w:p>
      <w:pPr>
        <w:pStyle w:val="Normal"/>
        <w:rPr>
          <w:sz w:val="22"/>
          <w:szCs w:val="22"/>
          <w:lang w:val="en-GB"/>
        </w:rPr>
      </w:pPr>
      <w:r>
        <w:rPr>
          <w:b/>
          <w:sz w:val="22"/>
          <w:szCs w:val="22"/>
          <w:lang w:val="en-GB"/>
        </w:rPr>
        <w:t>Table S2</w:t>
      </w:r>
      <w:r>
        <w:rPr>
          <w:sz w:val="22"/>
          <w:szCs w:val="22"/>
          <w:lang w:val="en-GB"/>
        </w:rPr>
        <w:t xml:space="preserve"> List of input parameters showing their value in the model and the value used for the univariate sensitivity analyses</w:t>
      </w:r>
    </w:p>
    <w:tbl>
      <w:tblPr>
        <w:tblStyle w:val="Sombreadoclaro"/>
        <w:tblW w:w="9464" w:type="dxa"/>
        <w:jc w:val="left"/>
        <w:tblInd w:w="0" w:type="dxa"/>
        <w:tblCellMar>
          <w:top w:w="0" w:type="dxa"/>
          <w:left w:w="108" w:type="dxa"/>
          <w:bottom w:w="0" w:type="dxa"/>
          <w:right w:w="108" w:type="dxa"/>
        </w:tblCellMar>
        <w:tblLook w:val="04a0" w:noVBand="1" w:noHBand="0" w:lastColumn="0" w:firstColumn="1" w:lastRow="0" w:firstRow="1"/>
      </w:tblPr>
      <w:tblGrid>
        <w:gridCol w:w="2376"/>
        <w:gridCol w:w="3544"/>
        <w:gridCol w:w="3544"/>
      </w:tblGrid>
      <w:tr>
        <w:trPr>
          <w:cnfStyle w:val="100000000000" w:firstRow="1" w:lastRow="0" w:firstColumn="0" w:lastColumn="0" w:oddVBand="0" w:evenVBand="0" w:oddHBand="0"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 w:val="false"/>
                <w:b w:val="false"/>
              </w:rPr>
            </w:pPr>
            <w:r>
              <w:rPr>
                <w:b w:val="false"/>
                <w:bCs/>
                <w:color w:val="000000" w:themeColor="text1" w:themeShade="bf"/>
                <w:sz w:val="20"/>
                <w:lang w:val="en-GB" w:eastAsia="en-GB"/>
              </w:rPr>
              <w:t>Input parameter</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Value in the model</w:t>
            </w:r>
          </w:p>
        </w:tc>
        <w:tc>
          <w:tcPr>
            <w:tcW w:w="354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rPr>
            </w:pPr>
            <w:r>
              <w:rPr>
                <w:b w:val="false"/>
                <w:bCs/>
                <w:color w:val="000000" w:themeColor="text1" w:themeShade="bf"/>
                <w:sz w:val="20"/>
                <w:lang w:val="en-GB" w:eastAsia="en-GB"/>
              </w:rPr>
              <w:t>Modification</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price</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21.40 US$ (17.41 US$–25.79 US$)</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5.90 US$</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BM sensitivity (SE) and specificity (SP)</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77% (95% CI 71.50%–81.50%)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 (95% CI 94.00%–99.70%)</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60% (range 50%–90%)</w:t>
            </w:r>
          </w:p>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RDT sensitivity (SE) and specificity (SP)</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83.20% (95% CI 74.10%–90.10%)</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99.80% (95% CI 99.00%–100.00%)</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SE 92.00% (95% CI 91.49%–92.92%)</w:t>
            </w:r>
          </w:p>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SP 95.00% (95% CI 94.30%–95.48%)</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SB price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 (1.20 US$–3.40 US$)</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1.70 US$</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keepNext/>
              <w:keepLines/>
              <w:numPr>
                <w:ilvl w:val="0"/>
                <w:numId w:val="0"/>
              </w:numPr>
              <w:spacing w:before="200" w:after="0"/>
              <w:outlineLvl w:val="2"/>
              <w:rPr>
                <w:b w:val="false"/>
                <w:b w:val="false"/>
              </w:rPr>
            </w:pPr>
            <w:r>
              <w:rPr>
                <w:b w:val="false"/>
                <w:bCs/>
                <w:color w:val="000000" w:themeColor="text1" w:themeShade="bf"/>
                <w:sz w:val="20"/>
                <w:lang w:val="en-GB" w:eastAsia="en-GB"/>
              </w:rPr>
              <w:t>SB mortality</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5.81% (95% CI 4.16%–7.72%)</w:t>
            </w:r>
          </w:p>
        </w:tc>
        <w:tc>
          <w:tcPr>
            <w:tcW w:w="3544"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2.00%</w:t>
            </w:r>
          </w:p>
        </w:tc>
      </w:tr>
      <w:tr>
        <w:trPr/>
        <w:tc>
          <w:tcPr>
            <w:tcW w:w="237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b w:val="false"/>
                <w:b w:val="false"/>
              </w:rPr>
            </w:pPr>
            <w:r>
              <w:rPr>
                <w:b w:val="false"/>
                <w:bCs/>
                <w:color w:val="000000" w:themeColor="text1" w:themeShade="bf"/>
                <w:sz w:val="20"/>
                <w:lang w:val="en-GB" w:eastAsia="en-GB"/>
              </w:rPr>
              <w:t>L-AmB efficacy (relapse)</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95.06% and 97.72%</w:t>
            </w:r>
          </w:p>
        </w:tc>
        <w:tc>
          <w:tcPr>
            <w:tcW w:w="3544"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100%</w:t>
            </w:r>
          </w:p>
        </w:tc>
      </w:tr>
      <w:tr>
        <w:trPr>
          <w:cnfStyle w:val="000000100000" w:firstRow="0" w:lastRow="0" w:firstColumn="0" w:lastColumn="0" w:oddVBand="0" w:evenVBand="0" w:oddHBand="1" w:evenHBand="0" w:firstRowFirstColumn="0" w:firstRowLastColumn="0" w:lastRowFirstColumn="0" w:lastRowLastColumn="0"/>
        </w:trPr>
        <w:tc>
          <w:tcPr>
            <w:tcW w:w="2376" w:type="dxa"/>
            <w:cnfStyle w:val="001000000000" w:firstRow="0" w:lastRow="0" w:firstColumn="1" w:lastColumn="0" w:oddVBand="0" w:evenVBand="0" w:oddHBand="0" w:evenHBand="0" w:firstRowFirstColumn="0" w:firstRowLastColumn="0" w:lastRowFirstColumn="0" w:lastRowLastColumn="0"/>
            <w:tcBorders>
              <w:top w:val="nil"/>
            </w:tcBorders>
            <w:shd w:color="auto" w:fill="auto" w:val="clear"/>
          </w:tcPr>
          <w:p>
            <w:pPr>
              <w:pStyle w:val="Normal"/>
              <w:rPr>
                <w:b w:val="false"/>
                <w:b w:val="false"/>
              </w:rPr>
            </w:pPr>
            <w:r>
              <w:rPr>
                <w:b w:val="false"/>
                <w:bCs/>
                <w:color w:val="000000" w:themeColor="text1" w:themeShade="bf"/>
                <w:sz w:val="20"/>
                <w:lang w:val="en-GB" w:eastAsia="en-GB"/>
              </w:rPr>
              <w:t>VL prevalence</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73.46% (95% CI 61.26%–91.77%)</w:t>
            </w:r>
          </w:p>
        </w:tc>
        <w:tc>
          <w:tcPr>
            <w:tcW w:w="3544" w:type="dxa"/>
            <w:tcBorders>
              <w:top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color w:val="000000" w:themeColor="text1" w:themeShade="bf"/>
                <w:sz w:val="20"/>
                <w:lang w:val="en-GB" w:eastAsia="en-GB"/>
              </w:rPr>
            </w:pPr>
            <w:r>
              <w:rPr>
                <w:color w:val="000000" w:themeColor="text1" w:themeShade="bf"/>
                <w:sz w:val="20"/>
                <w:lang w:val="en-GB" w:eastAsia="en-GB"/>
              </w:rPr>
              <w:t>50% and 50%</w:t>
            </w:r>
          </w:p>
        </w:tc>
      </w:tr>
    </w:tbl>
    <w:p>
      <w:pPr>
        <w:pStyle w:val="Normal"/>
        <w:rPr>
          <w:b/>
          <w:b/>
          <w:sz w:val="22"/>
          <w:szCs w:val="22"/>
          <w:lang w:val="en-GB"/>
        </w:rPr>
      </w:pPr>
      <w:r>
        <w:rPr>
          <w:b/>
          <w:sz w:val="22"/>
          <w:szCs w:val="22"/>
          <w:lang w:val="en-GB"/>
        </w:rPr>
      </w:r>
      <w:r>
        <w:br w:type="page"/>
      </w:r>
    </w:p>
    <w:p>
      <w:pPr>
        <w:pStyle w:val="Normal"/>
        <w:spacing w:lineRule="auto" w:line="360"/>
        <w:rPr>
          <w:sz w:val="22"/>
          <w:szCs w:val="22"/>
          <w:lang w:val="en-GB"/>
        </w:rPr>
      </w:pPr>
      <w:r>
        <w:rPr>
          <w:b/>
          <w:sz w:val="22"/>
          <w:szCs w:val="22"/>
          <w:lang w:val="en-GB"/>
        </w:rPr>
        <w:t>Table S3</w:t>
      </w:r>
      <w:r>
        <w:rPr>
          <w:sz w:val="22"/>
          <w:szCs w:val="22"/>
          <w:lang w:val="en-GB"/>
        </w:rPr>
        <w:t xml:space="preserve"> Baseline analysis: expected costs and effects over a 100 VL suspects</w:t>
      </w:r>
    </w:p>
    <w:tbl>
      <w:tblPr>
        <w:tblW w:w="6251" w:type="dxa"/>
        <w:jc w:val="left"/>
        <w:tblInd w:w="14" w:type="dxa"/>
        <w:tblBorders>
          <w:bottom w:val="single" w:sz="8" w:space="0" w:color="000001"/>
          <w:insideH w:val="single" w:sz="8" w:space="0" w:color="000001"/>
        </w:tblBorders>
        <w:tblCellMar>
          <w:top w:w="14" w:type="dxa"/>
          <w:left w:w="14" w:type="dxa"/>
          <w:bottom w:w="0" w:type="dxa"/>
          <w:right w:w="14" w:type="dxa"/>
        </w:tblCellMar>
        <w:tblLook w:val="04a0" w:noVBand="1" w:noHBand="0" w:lastColumn="0" w:firstColumn="1" w:lastRow="0" w:firstRow="1"/>
      </w:tblPr>
      <w:tblGrid>
        <w:gridCol w:w="3133"/>
        <w:gridCol w:w="1842"/>
        <w:gridCol w:w="1276"/>
      </w:tblGrid>
      <w:tr>
        <w:trPr>
          <w:trHeight w:val="334" w:hRule="atLeast"/>
        </w:trPr>
        <w:tc>
          <w:tcPr>
            <w:tcW w:w="3133"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1842"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276" w:type="dxa"/>
            <w:tcBorders>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Deaths</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A (BM + SB)</w:t>
            </w:r>
            <w:r>
              <w:rPr>
                <w:i/>
                <w:sz w:val="20"/>
                <w:szCs w:val="20"/>
                <w:lang w:val="en-GB"/>
              </w:rPr>
              <w:t>*</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55,956.35</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5.45</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113,733.68</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1.28</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C (BM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77,474.11</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0.39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50,869.29</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5.24</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108,618.00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1.09</w:t>
            </w:r>
          </w:p>
        </w:tc>
      </w:tr>
      <w:tr>
        <w:trPr>
          <w:trHeight w:val="379" w:hRule="atLeast"/>
        </w:trPr>
        <w:tc>
          <w:tcPr>
            <w:tcW w:w="3133"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842"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72,288.50</w:t>
            </w:r>
          </w:p>
        </w:tc>
        <w:tc>
          <w:tcPr>
            <w:tcW w:w="1276" w:type="dxa"/>
            <w:tcBorders>
              <w:top w:val="single" w:sz="8" w:space="0" w:color="000001"/>
              <w:bottom w:val="single" w:sz="8" w:space="0" w:color="000001"/>
              <w:insideH w:val="single" w:sz="8" w:space="0" w:color="000001"/>
            </w:tcBorders>
            <w:shd w:color="auto" w:fill="auto" w:val="clear"/>
            <w:vAlign w:val="bottom"/>
          </w:tcPr>
          <w:p>
            <w:pPr>
              <w:pStyle w:val="Normal"/>
              <w:spacing w:lineRule="auto" w:line="360"/>
              <w:rPr>
                <w:sz w:val="20"/>
                <w:szCs w:val="20"/>
                <w:lang w:val="en-GB"/>
              </w:rPr>
            </w:pPr>
            <w:r>
              <w:rPr>
                <w:sz w:val="20"/>
                <w:szCs w:val="20"/>
                <w:lang w:val="en-GB"/>
              </w:rPr>
              <w:t>0.29</w:t>
            </w:r>
          </w:p>
        </w:tc>
      </w:tr>
    </w:tbl>
    <w:p>
      <w:pPr>
        <w:sectPr>
          <w:footerReference w:type="default" r:id="rId38"/>
          <w:type w:val="nextPage"/>
          <w:pgSz w:w="12240" w:h="15840"/>
          <w:pgMar w:left="1701" w:right="1701" w:header="0" w:top="1417" w:footer="708" w:bottom="1417" w:gutter="0"/>
          <w:pgNumType w:fmt="decimal"/>
          <w:formProt w:val="false"/>
          <w:textDirection w:val="lrTb"/>
          <w:docGrid w:type="default" w:linePitch="360" w:charSpace="4294961151"/>
        </w:sectPr>
        <w:pStyle w:val="Normal"/>
        <w:spacing w:lineRule="auto" w:line="360"/>
        <w:rPr>
          <w:i/>
          <w:i/>
          <w:sz w:val="18"/>
          <w:szCs w:val="18"/>
          <w:lang w:val="en-GB"/>
        </w:rPr>
      </w:pPr>
      <w:r>
        <w:rPr>
          <w:i/>
          <w:sz w:val="18"/>
          <w:szCs w:val="18"/>
          <w:lang w:val="en-GB"/>
        </w:rPr>
        <w:t>*Current practices in Morocco</w:t>
      </w:r>
      <w:r>
        <w:rPr>
          <w:rFonts w:cs="Calibri"/>
          <w:i/>
          <w:sz w:val="18"/>
          <w:szCs w:val="18"/>
          <w:lang w:val="en-GB"/>
        </w:rPr>
        <w:t>; SB: meglumine antimoniate; L-AmB: Liposomal amphotericin B; BM: Bone Marrow and microscopy; RDT: Rapid Diagnostic Test</w:t>
      </w:r>
    </w:p>
    <w:p>
      <w:pPr>
        <w:pStyle w:val="Normal"/>
        <w:spacing w:lineRule="auto" w:line="360"/>
        <w:rPr>
          <w:sz w:val="20"/>
          <w:szCs w:val="20"/>
          <w:lang w:val="en-GB"/>
        </w:rPr>
      </w:pPr>
      <w:r>
        <w:rPr>
          <w:b/>
          <w:sz w:val="20"/>
          <w:szCs w:val="20"/>
          <w:lang w:val="en-GB"/>
        </w:rPr>
        <w:t>Table S4</w:t>
      </w:r>
      <w:r>
        <w:rPr>
          <w:sz w:val="20"/>
          <w:szCs w:val="20"/>
          <w:lang w:val="en-GB"/>
        </w:rPr>
        <w:t xml:space="preserve"> Probabilistic results: cost-effective analysis of management a 100 VL suspects (subsidised L-AmB at 18US$/vial)</w:t>
      </w:r>
    </w:p>
    <w:tbl>
      <w:tblPr>
        <w:tblW w:w="13114" w:type="dxa"/>
        <w:jc w:val="left"/>
        <w:tblInd w:w="109" w:type="dxa"/>
        <w:tblBorders>
          <w:bottom w:val="single" w:sz="4" w:space="0" w:color="000001"/>
          <w:insideH w:val="single" w:sz="4" w:space="0" w:color="000001"/>
        </w:tblBorders>
        <w:tblCellMar>
          <w:top w:w="0" w:type="dxa"/>
          <w:left w:w="108" w:type="dxa"/>
          <w:bottom w:w="0" w:type="dxa"/>
          <w:right w:w="108" w:type="dxa"/>
        </w:tblCellMar>
        <w:tblLook w:val="04a0" w:noVBand="1" w:noHBand="0" w:lastColumn="0" w:firstColumn="1" w:lastRow="0" w:firstRow="1"/>
      </w:tblPr>
      <w:tblGrid>
        <w:gridCol w:w="3118"/>
        <w:gridCol w:w="1176"/>
        <w:gridCol w:w="327"/>
        <w:gridCol w:w="1029"/>
        <w:gridCol w:w="1721"/>
        <w:gridCol w:w="637"/>
        <w:gridCol w:w="327"/>
        <w:gridCol w:w="595"/>
        <w:gridCol w:w="1"/>
        <w:gridCol w:w="1840"/>
        <w:gridCol w:w="2"/>
        <w:gridCol w:w="991"/>
        <w:gridCol w:w="1"/>
        <w:gridCol w:w="1347"/>
      </w:tblGrid>
      <w:tr>
        <w:trPr>
          <w:trHeight w:val="300" w:hRule="atLeast"/>
        </w:trPr>
        <w:tc>
          <w:tcPr>
            <w:tcW w:w="3118"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Strategy (diagnosis +treatment)</w:t>
            </w:r>
          </w:p>
        </w:tc>
        <w:tc>
          <w:tcPr>
            <w:tcW w:w="4253" w:type="dxa"/>
            <w:gridSpan w:val="4"/>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Cost per 100 suspect VL cases (US$)</w:t>
            </w:r>
          </w:p>
        </w:tc>
        <w:tc>
          <w:tcPr>
            <w:tcW w:w="3402" w:type="dxa"/>
            <w:gridSpan w:val="6"/>
            <w:tcBorders>
              <w:bottom w:val="single" w:sz="4" w:space="0" w:color="00000A"/>
              <w:insideH w:val="single" w:sz="4" w:space="0" w:color="00000A"/>
            </w:tcBorders>
            <w:shd w:color="auto" w:fill="auto" w:val="clear"/>
            <w:vAlign w:val="center"/>
          </w:tcPr>
          <w:p>
            <w:pPr>
              <w:pStyle w:val="Normal"/>
              <w:spacing w:lineRule="auto" w:line="360"/>
              <w:rPr>
                <w:sz w:val="20"/>
                <w:szCs w:val="20"/>
                <w:lang w:val="en-GB"/>
              </w:rPr>
            </w:pPr>
            <w:r>
              <w:rPr>
                <w:sz w:val="20"/>
                <w:szCs w:val="20"/>
                <w:lang w:val="en-GB"/>
              </w:rPr>
              <w:t>Effectiveness per 100 suspect VL cases</w:t>
            </w:r>
          </w:p>
        </w:tc>
        <w:tc>
          <w:tcPr>
            <w:tcW w:w="992" w:type="dxa"/>
            <w:gridSpan w:val="2"/>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C/E ratio</w:t>
            </w:r>
          </w:p>
        </w:tc>
        <w:tc>
          <w:tcPr>
            <w:tcW w:w="1347" w:type="dxa"/>
            <w:vMerge w:val="restart"/>
            <w:tcBorders>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Incremental C/E (ICER)</w:t>
            </w:r>
          </w:p>
        </w:tc>
      </w:tr>
      <w:tr>
        <w:trPr>
          <w:trHeight w:val="300" w:hRule="atLeast"/>
        </w:trPr>
        <w:tc>
          <w:tcPr>
            <w:tcW w:w="3118"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2532" w:type="dxa"/>
            <w:gridSpan w:val="3"/>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 xml:space="preserve">Cost (C) </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Incremental Cost</w:t>
            </w:r>
          </w:p>
        </w:tc>
        <w:tc>
          <w:tcPr>
            <w:tcW w:w="1560" w:type="dxa"/>
            <w:gridSpan w:val="4"/>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w:t>
            </w:r>
          </w:p>
        </w:tc>
        <w:tc>
          <w:tcPr>
            <w:tcW w:w="1842"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Deaths averted</w:t>
            </w:r>
          </w:p>
        </w:tc>
        <w:tc>
          <w:tcPr>
            <w:tcW w:w="992" w:type="dxa"/>
            <w:gridSpan w:val="2"/>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c>
          <w:tcPr>
            <w:tcW w:w="1347" w:type="dxa"/>
            <w:vMerge w:val="continue"/>
            <w:tcBorders>
              <w:top w:val="single" w:sz="4" w:space="0" w:color="000001"/>
              <w:bottom w:val="single" w:sz="4" w:space="0" w:color="000001"/>
              <w:insideH w:val="single" w:sz="4" w:space="0" w:color="000001"/>
            </w:tcBorders>
            <w:shd w:fill="auto" w:val="clear"/>
            <w:vAlign w:val="center"/>
          </w:tcPr>
          <w:p>
            <w:pPr>
              <w:pStyle w:val="Normal"/>
              <w:spacing w:lineRule="auto" w:line="360"/>
              <w:rPr>
                <w:sz w:val="20"/>
                <w:szCs w:val="20"/>
                <w:lang w:val="en-GB"/>
              </w:rPr>
            </w:pPr>
            <w:r>
              <w:rPr>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F (RDT +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19,011.35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252.22</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0.29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190.67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C (BM+ two-day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29,765.53</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699.28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10,754.18</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0.39</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0.00</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-0.10</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-298.82</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E (RDT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38,796.38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447.03</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9,030.85</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1.10</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-0.71</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-392.27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B (BM + six-day L-AmB)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49,543.44</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sz w:val="20"/>
                <w:szCs w:val="20"/>
                <w:lang w:val="en-GB"/>
              </w:rPr>
            </w:pPr>
            <w:r>
              <w:rPr>
                <w:sz w:val="20"/>
                <w:szCs w:val="20"/>
                <w:lang w:val="en-GB"/>
              </w:rPr>
              <w:t>819.60</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10,747.06</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1.28</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0.01</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-0.18</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-501.87</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D (RDT + SB)</w:t>
            </w:r>
          </w:p>
        </w:tc>
        <w:tc>
          <w:tcPr>
            <w:tcW w:w="1176"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65,556.25</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1,496.88</w:t>
            </w:r>
          </w:p>
        </w:tc>
        <w:tc>
          <w:tcPr>
            <w:tcW w:w="1721"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16,012.81</w:t>
            </w:r>
          </w:p>
        </w:tc>
        <w:tc>
          <w:tcPr>
            <w:tcW w:w="63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5.27</w:t>
            </w:r>
          </w:p>
        </w:tc>
        <w:tc>
          <w:tcPr>
            <w:tcW w:w="327"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-3.99</w:t>
            </w:r>
          </w:p>
        </w:tc>
        <w:tc>
          <w:tcPr>
            <w:tcW w:w="993"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jc w:val="right"/>
              <w:rPr>
                <w:sz w:val="20"/>
                <w:szCs w:val="20"/>
                <w:lang w:val="en-GB"/>
              </w:rPr>
            </w:pPr>
            <w:r>
              <w:rPr>
                <w:sz w:val="20"/>
                <w:szCs w:val="20"/>
                <w:lang w:val="en-GB"/>
              </w:rPr>
              <w:t>-692.04</w:t>
            </w:r>
          </w:p>
        </w:tc>
        <w:tc>
          <w:tcPr>
            <w:tcW w:w="1348" w:type="dxa"/>
            <w:gridSpan w:val="2"/>
            <w:tcBorders>
              <w:top w:val="single" w:sz="4" w:space="0" w:color="000001"/>
              <w:bottom w:val="single" w:sz="4" w:space="0" w:color="000001"/>
              <w:insideH w:val="single" w:sz="4" w:space="0" w:color="000001"/>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r>
        <w:trPr>
          <w:trHeight w:val="300" w:hRule="atLeast"/>
        </w:trPr>
        <w:tc>
          <w:tcPr>
            <w:tcW w:w="3118"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A (BM + SB)*</w:t>
            </w:r>
          </w:p>
        </w:tc>
        <w:tc>
          <w:tcPr>
            <w:tcW w:w="1176"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76,289.59</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1029"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1,624.60</w:t>
            </w:r>
          </w:p>
        </w:tc>
        <w:tc>
          <w:tcPr>
            <w:tcW w:w="1721" w:type="dxa"/>
            <w:tcBorders>
              <w:top w:val="single" w:sz="4" w:space="0" w:color="00000A"/>
              <w:bottom w:val="single" w:sz="4" w:space="0" w:color="00000A"/>
              <w:insideH w:val="single" w:sz="4" w:space="0" w:color="00000A"/>
            </w:tcBorders>
            <w:shd w:color="auto" w:fill="auto" w:val="clear"/>
            <w:vAlign w:val="bottom"/>
          </w:tcPr>
          <w:p>
            <w:pPr>
              <w:pStyle w:val="Normal"/>
              <w:keepNext/>
              <w:keepLines/>
              <w:numPr>
                <w:ilvl w:val="0"/>
                <w:numId w:val="0"/>
              </w:numPr>
              <w:spacing w:lineRule="auto" w:line="360" w:before="200" w:after="0"/>
              <w:outlineLvl w:val="2"/>
              <w:rPr>
                <w:b/>
                <w:b/>
                <w:bCs/>
                <w:sz w:val="20"/>
                <w:szCs w:val="20"/>
                <w:lang w:val="en-GB"/>
              </w:rPr>
            </w:pPr>
            <w:r>
              <w:rPr>
                <w:b/>
                <w:bCs/>
                <w:sz w:val="20"/>
                <w:szCs w:val="20"/>
                <w:lang w:val="en-GB"/>
              </w:rPr>
              <w:t>10,733.34</w:t>
            </w:r>
          </w:p>
        </w:tc>
        <w:tc>
          <w:tcPr>
            <w:tcW w:w="63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5.48</w:t>
            </w:r>
          </w:p>
        </w:tc>
        <w:tc>
          <w:tcPr>
            <w:tcW w:w="327"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w:t>
            </w:r>
          </w:p>
        </w:tc>
        <w:tc>
          <w:tcPr>
            <w:tcW w:w="595" w:type="dxa"/>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sz w:val="20"/>
                <w:szCs w:val="20"/>
                <w:lang w:val="en-GB"/>
              </w:rPr>
            </w:pPr>
            <w:r>
              <w:rPr>
                <w:sz w:val="20"/>
                <w:szCs w:val="20"/>
                <w:lang w:val="en-GB"/>
              </w:rPr>
              <w:t>0.04</w:t>
            </w:r>
          </w:p>
        </w:tc>
        <w:tc>
          <w:tcPr>
            <w:tcW w:w="1841"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-0.21</w:t>
            </w:r>
          </w:p>
        </w:tc>
        <w:tc>
          <w:tcPr>
            <w:tcW w:w="993"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jc w:val="right"/>
              <w:rPr>
                <w:sz w:val="20"/>
                <w:szCs w:val="20"/>
                <w:lang w:val="en-GB"/>
              </w:rPr>
            </w:pPr>
            <w:r>
              <w:rPr>
                <w:sz w:val="20"/>
                <w:szCs w:val="20"/>
                <w:lang w:val="en-GB"/>
              </w:rPr>
              <w:t>-807.10</w:t>
            </w:r>
          </w:p>
        </w:tc>
        <w:tc>
          <w:tcPr>
            <w:tcW w:w="1348" w:type="dxa"/>
            <w:gridSpan w:val="2"/>
            <w:tcBorders>
              <w:top w:val="single" w:sz="4" w:space="0" w:color="00000A"/>
              <w:bottom w:val="single" w:sz="4" w:space="0" w:color="00000A"/>
              <w:insideH w:val="single" w:sz="4" w:space="0" w:color="00000A"/>
            </w:tcBorders>
            <w:shd w:color="auto" w:fill="auto" w:val="clear"/>
            <w:vAlign w:val="bottom"/>
          </w:tcPr>
          <w:p>
            <w:pPr>
              <w:pStyle w:val="Normal"/>
              <w:spacing w:lineRule="auto" w:line="360"/>
              <w:rPr>
                <w:b/>
                <w:b/>
                <w:bCs/>
                <w:sz w:val="20"/>
                <w:szCs w:val="20"/>
                <w:lang w:val="en-GB"/>
              </w:rPr>
            </w:pPr>
            <w:r>
              <w:rPr>
                <w:b/>
                <w:bCs/>
                <w:sz w:val="20"/>
                <w:szCs w:val="20"/>
                <w:lang w:val="en-GB"/>
              </w:rPr>
              <w:t>Dominated</w:t>
            </w:r>
          </w:p>
        </w:tc>
      </w:tr>
    </w:tbl>
    <w:p>
      <w:pPr>
        <w:pStyle w:val="Normal"/>
        <w:spacing w:lineRule="auto" w:line="360"/>
        <w:rPr>
          <w:i/>
          <w:i/>
          <w:sz w:val="20"/>
          <w:szCs w:val="20"/>
          <w:lang w:val="en-GB"/>
        </w:rPr>
      </w:pPr>
      <w:r>
        <w:rPr>
          <w:i/>
          <w:sz w:val="20"/>
          <w:szCs w:val="20"/>
          <w:lang w:val="en-GB"/>
        </w:rPr>
        <w:t>*Current practices in Morocco; SB: meglumine antimoniate; L-AmB: Liposomal amphotericin B; BM: Bone Marrow and microscopy; RDT: Rapid Diagnostic Test</w:t>
      </w:r>
    </w:p>
    <w:p>
      <w:pPr>
        <w:pStyle w:val="Normal"/>
        <w:rPr>
          <w:sz w:val="20"/>
          <w:szCs w:val="20"/>
          <w:lang w:val="en-GB"/>
        </w:rPr>
      </w:pPr>
      <w:r>
        <w:rPr>
          <w:sz w:val="20"/>
          <w:szCs w:val="20"/>
          <w:lang w:val="en-GB"/>
        </w:rPr>
      </w:r>
      <w:r>
        <w:br w:type="page"/>
      </w:r>
    </w:p>
    <w:p>
      <w:pPr>
        <w:pStyle w:val="Normal"/>
        <w:ind w:right="1382" w:hanging="0"/>
        <w:rPr>
          <w:sz w:val="22"/>
          <w:szCs w:val="22"/>
          <w:lang w:val="en-GB"/>
        </w:rPr>
      </w:pPr>
      <w:r>
        <w:rPr>
          <w:b/>
          <w:sz w:val="22"/>
          <w:szCs w:val="22"/>
          <w:lang w:val="en-GB"/>
        </w:rPr>
        <w:t>Table S5</w:t>
      </w:r>
      <w:r>
        <w:rPr>
          <w:sz w:val="22"/>
          <w:szCs w:val="22"/>
          <w:lang w:val="en-GB"/>
        </w:rPr>
        <w:t xml:space="preserve"> Impact of the univariate change of input parameters on the incremental costs and effects of each strategy and in the cost-effectiveness analysis conclusions: expressed as percentage increase or decrease for costs and survivals of each strategy respect the mean cost of the baseline analysis. IC: increases costs; DC: decreases costs; IS: increases survivals; DC: decreases survivals.</w:t>
      </w:r>
    </w:p>
    <w:tbl>
      <w:tblPr>
        <w:tblStyle w:val="Tablaconcuadrcula"/>
        <w:tblW w:w="10065" w:type="dxa"/>
        <w:jc w:val="left"/>
        <w:tblInd w:w="103" w:type="dxa"/>
        <w:tblCellMar>
          <w:top w:w="0" w:type="dxa"/>
          <w:left w:w="103" w:type="dxa"/>
          <w:bottom w:w="0" w:type="dxa"/>
          <w:right w:w="108" w:type="dxa"/>
        </w:tblCellMar>
        <w:tblLook w:val="04a0" w:noVBand="1" w:noHBand="0" w:lastColumn="0" w:firstColumn="1" w:lastRow="0" w:firstRow="1"/>
      </w:tblPr>
      <w:tblGrid>
        <w:gridCol w:w="1391"/>
        <w:gridCol w:w="1178"/>
        <w:gridCol w:w="1178"/>
        <w:gridCol w:w="1175"/>
        <w:gridCol w:w="1180"/>
        <w:gridCol w:w="1298"/>
        <w:gridCol w:w="1244"/>
        <w:gridCol w:w="1419"/>
      </w:tblGrid>
      <w:tr>
        <w:trPr/>
        <w:tc>
          <w:tcPr>
            <w:tcW w:w="1391" w:type="dxa"/>
            <w:tcBorders/>
            <w:shd w:fill="auto" w:val="clear"/>
            <w:tcMar>
              <w:left w:w="103" w:type="dxa"/>
            </w:tcMar>
          </w:tcPr>
          <w:p>
            <w:pPr>
              <w:pStyle w:val="Normal"/>
              <w:rPr>
                <w:lang w:val="en-GB"/>
              </w:rPr>
            </w:pPr>
            <w:r>
              <w:rPr>
                <w:lang w:val="en-GB"/>
              </w:rPr>
              <w:t>Input parameter</w:t>
            </w:r>
          </w:p>
        </w:tc>
        <w:tc>
          <w:tcPr>
            <w:tcW w:w="1178" w:type="dxa"/>
            <w:tcBorders/>
            <w:shd w:fill="auto" w:val="clear"/>
            <w:tcMar>
              <w:left w:w="103" w:type="dxa"/>
            </w:tcMar>
          </w:tcPr>
          <w:p>
            <w:pPr>
              <w:pStyle w:val="Normal"/>
              <w:rPr>
                <w:lang w:val="en-GB"/>
              </w:rPr>
            </w:pPr>
            <w:r>
              <w:rPr>
                <w:lang w:val="en-GB"/>
              </w:rPr>
              <w:t>Strategy A</w:t>
            </w:r>
          </w:p>
        </w:tc>
        <w:tc>
          <w:tcPr>
            <w:tcW w:w="1178" w:type="dxa"/>
            <w:tcBorders/>
            <w:shd w:fill="auto" w:val="clear"/>
            <w:tcMar>
              <w:left w:w="103" w:type="dxa"/>
            </w:tcMar>
          </w:tcPr>
          <w:p>
            <w:pPr>
              <w:pStyle w:val="Normal"/>
              <w:rPr>
                <w:lang w:val="en-GB"/>
              </w:rPr>
            </w:pPr>
            <w:r>
              <w:rPr>
                <w:lang w:val="en-GB"/>
              </w:rPr>
              <w:t>Strategy B</w:t>
            </w:r>
          </w:p>
        </w:tc>
        <w:tc>
          <w:tcPr>
            <w:tcW w:w="1175" w:type="dxa"/>
            <w:tcBorders/>
            <w:shd w:fill="auto" w:val="clear"/>
            <w:tcMar>
              <w:left w:w="103" w:type="dxa"/>
            </w:tcMar>
          </w:tcPr>
          <w:p>
            <w:pPr>
              <w:pStyle w:val="Normal"/>
              <w:rPr>
                <w:lang w:val="en-GB"/>
              </w:rPr>
            </w:pPr>
            <w:r>
              <w:rPr>
                <w:lang w:val="en-GB"/>
              </w:rPr>
              <w:t>Strategy C</w:t>
            </w:r>
          </w:p>
        </w:tc>
        <w:tc>
          <w:tcPr>
            <w:tcW w:w="1180" w:type="dxa"/>
            <w:tcBorders/>
            <w:shd w:fill="auto" w:val="clear"/>
            <w:tcMar>
              <w:left w:w="103" w:type="dxa"/>
            </w:tcMar>
          </w:tcPr>
          <w:p>
            <w:pPr>
              <w:pStyle w:val="Normal"/>
              <w:rPr>
                <w:lang w:val="en-GB"/>
              </w:rPr>
            </w:pPr>
            <w:r>
              <w:rPr>
                <w:lang w:val="en-GB"/>
              </w:rPr>
              <w:t>Strategy D</w:t>
            </w:r>
          </w:p>
        </w:tc>
        <w:tc>
          <w:tcPr>
            <w:tcW w:w="1298" w:type="dxa"/>
            <w:tcBorders/>
            <w:shd w:fill="auto" w:val="clear"/>
            <w:tcMar>
              <w:left w:w="103" w:type="dxa"/>
            </w:tcMar>
          </w:tcPr>
          <w:p>
            <w:pPr>
              <w:pStyle w:val="Normal"/>
              <w:rPr>
                <w:lang w:val="en-GB"/>
              </w:rPr>
            </w:pPr>
            <w:r>
              <w:rPr>
                <w:lang w:val="en-GB"/>
              </w:rPr>
              <w:t>Strategy E</w:t>
            </w:r>
          </w:p>
        </w:tc>
        <w:tc>
          <w:tcPr>
            <w:tcW w:w="1244" w:type="dxa"/>
            <w:tcBorders/>
            <w:shd w:fill="auto" w:val="clear"/>
            <w:tcMar>
              <w:left w:w="103" w:type="dxa"/>
            </w:tcMar>
          </w:tcPr>
          <w:p>
            <w:pPr>
              <w:pStyle w:val="Normal"/>
              <w:rPr>
                <w:lang w:val="en-GB"/>
              </w:rPr>
            </w:pPr>
            <w:r>
              <w:rPr>
                <w:lang w:val="en-GB"/>
              </w:rPr>
              <w:t>Strategy F</w:t>
            </w:r>
          </w:p>
        </w:tc>
        <w:tc>
          <w:tcPr>
            <w:tcW w:w="1419" w:type="dxa"/>
            <w:tcBorders/>
            <w:shd w:fill="auto" w:val="clear"/>
            <w:tcMar>
              <w:left w:w="103" w:type="dxa"/>
            </w:tcMar>
          </w:tcPr>
          <w:p>
            <w:pPr>
              <w:pStyle w:val="Normal"/>
              <w:rPr>
                <w:lang w:val="en-GB"/>
              </w:rPr>
            </w:pPr>
            <w:r>
              <w:rPr>
                <w:lang w:val="en-GB"/>
              </w:rPr>
              <w:t xml:space="preserve">CE conclusions </w:t>
            </w:r>
          </w:p>
        </w:tc>
      </w:tr>
      <w:tr>
        <w:trPr/>
        <w:tc>
          <w:tcPr>
            <w:tcW w:w="1391" w:type="dxa"/>
            <w:tcBorders/>
            <w:shd w:fill="auto" w:val="clear"/>
            <w:tcMar>
              <w:left w:w="103" w:type="dxa"/>
            </w:tcMar>
          </w:tcPr>
          <w:p>
            <w:pPr>
              <w:pStyle w:val="Normal"/>
              <w:rPr>
                <w:lang w:val="en-GB"/>
              </w:rPr>
            </w:pPr>
            <w:r>
              <w:rPr>
                <w:lang w:val="en-GB"/>
              </w:rPr>
              <w:t>BM price</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DC=2%</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 xml:space="preserve">BM SE&amp;SP </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RDT SE&amp;SP</w:t>
            </w:r>
          </w:p>
        </w:tc>
        <w:tc>
          <w:tcPr>
            <w:tcW w:w="1178"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price</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DS&lt;1%</w:t>
            </w:r>
          </w:p>
        </w:tc>
        <w:tc>
          <w:tcPr>
            <w:tcW w:w="1178"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DS&lt;1%</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SB mortality</w:t>
            </w:r>
          </w:p>
        </w:tc>
        <w:tc>
          <w:tcPr>
            <w:tcW w:w="1178" w:type="dxa"/>
            <w:tcBorders/>
            <w:shd w:fill="auto" w:val="clear"/>
            <w:tcMar>
              <w:left w:w="103" w:type="dxa"/>
            </w:tcMar>
          </w:tcPr>
          <w:p>
            <w:pPr>
              <w:pStyle w:val="Normal"/>
              <w:rPr>
                <w:lang w:val="en-GB"/>
              </w:rPr>
            </w:pPr>
            <w:r>
              <w:rPr>
                <w:lang w:val="en-GB"/>
              </w:rPr>
              <w:t>DC=2%</w:t>
            </w:r>
          </w:p>
          <w:p>
            <w:pPr>
              <w:pStyle w:val="Normal"/>
              <w:rPr>
                <w:lang w:val="en-GB"/>
              </w:rPr>
            </w:pPr>
            <w:r>
              <w:rPr>
                <w:lang w:val="en-GB"/>
              </w:rPr>
              <w:t>IS=3%</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IC&lt;1%</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w:t>
            </w:r>
          </w:p>
          <w:p>
            <w:pPr>
              <w:pStyle w:val="Normal"/>
              <w:rPr>
                <w:lang w:val="en-GB"/>
              </w:rPr>
            </w:pPr>
            <w:r>
              <w:rPr>
                <w:lang w:val="en-GB"/>
              </w:rPr>
              <w:t>IS=3%</w:t>
            </w:r>
          </w:p>
        </w:tc>
        <w:tc>
          <w:tcPr>
            <w:tcW w:w="1298"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DC&lt;1%</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L-AmB efficacy*</w:t>
            </w:r>
          </w:p>
        </w:tc>
        <w:tc>
          <w:tcPr>
            <w:tcW w:w="1178" w:type="dxa"/>
            <w:tcBorders/>
            <w:shd w:fill="auto" w:val="clear"/>
            <w:tcMar>
              <w:left w:w="103" w:type="dxa"/>
            </w:tcMar>
          </w:tcPr>
          <w:p>
            <w:pPr>
              <w:pStyle w:val="Normal"/>
              <w:rPr>
                <w:lang w:val="en-GB"/>
              </w:rPr>
            </w:pPr>
            <w:r>
              <w:rPr>
                <w:lang w:val="en-GB"/>
              </w:rPr>
              <w:t>DC=3%</w:t>
            </w:r>
          </w:p>
          <w:p>
            <w:pPr>
              <w:pStyle w:val="Normal"/>
              <w:rPr>
                <w:lang w:val="en-GB"/>
              </w:rPr>
            </w:pPr>
            <w:r>
              <w:rPr>
                <w:lang w:val="en-GB"/>
              </w:rPr>
              <w:t>IS&lt;1%</w:t>
            </w:r>
          </w:p>
        </w:tc>
        <w:tc>
          <w:tcPr>
            <w:tcW w:w="1178"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75" w:type="dxa"/>
            <w:tcBorders/>
            <w:shd w:fill="auto" w:val="clear"/>
            <w:tcMar>
              <w:left w:w="103" w:type="dxa"/>
            </w:tcMar>
          </w:tcPr>
          <w:p>
            <w:pPr>
              <w:pStyle w:val="Normal"/>
              <w:rPr>
                <w:lang w:val="en-GB"/>
              </w:rPr>
            </w:pPr>
            <w:r>
              <w:rPr>
                <w:lang w:val="en-GB"/>
              </w:rPr>
              <w:t>DC&lt;1%</w:t>
            </w:r>
          </w:p>
          <w:p>
            <w:pPr>
              <w:pStyle w:val="Normal"/>
              <w:rPr>
                <w:lang w:val="en-GB"/>
              </w:rPr>
            </w:pPr>
            <w:r>
              <w:rPr>
                <w:lang w:val="en-GB"/>
              </w:rPr>
              <w:t>IS=1%</w:t>
            </w:r>
          </w:p>
        </w:tc>
        <w:tc>
          <w:tcPr>
            <w:tcW w:w="1180" w:type="dxa"/>
            <w:tcBorders/>
            <w:shd w:fill="auto" w:val="clear"/>
            <w:tcMar>
              <w:left w:w="103" w:type="dxa"/>
            </w:tcMar>
          </w:tcPr>
          <w:p>
            <w:pPr>
              <w:pStyle w:val="Normal"/>
              <w:rPr>
                <w:lang w:val="en-GB"/>
              </w:rPr>
            </w:pPr>
            <w:r>
              <w:rPr>
                <w:lang w:val="en-GB"/>
              </w:rPr>
              <w:t>DC=4%</w:t>
            </w:r>
          </w:p>
          <w:p>
            <w:pPr>
              <w:pStyle w:val="Normal"/>
              <w:rPr>
                <w:lang w:val="en-GB"/>
              </w:rPr>
            </w:pPr>
            <w:r>
              <w:rPr>
                <w:lang w:val="en-GB"/>
              </w:rPr>
              <w:t>IS&lt;1%</w:t>
            </w:r>
          </w:p>
        </w:tc>
        <w:tc>
          <w:tcPr>
            <w:tcW w:w="1298" w:type="dxa"/>
            <w:tcBorders/>
            <w:shd w:fill="auto" w:val="clear"/>
            <w:tcMar>
              <w:left w:w="103" w:type="dxa"/>
            </w:tcMar>
          </w:tcPr>
          <w:p>
            <w:pPr>
              <w:pStyle w:val="Normal"/>
              <w:rPr>
                <w:lang w:val="en-GB"/>
              </w:rPr>
            </w:pPr>
            <w:r>
              <w:rPr>
                <w:lang w:val="en-GB"/>
              </w:rPr>
              <w:t>DC=1%</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DC=1%</w:t>
            </w:r>
          </w:p>
          <w:p>
            <w:pPr>
              <w:pStyle w:val="Normal"/>
              <w:rPr>
                <w:lang w:val="en-GB"/>
              </w:rPr>
            </w:pPr>
            <w:r>
              <w:rPr>
                <w:lang w:val="en-GB"/>
              </w:rPr>
              <w:t>IS=1%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50% VL prevalence</w:t>
            </w:r>
          </w:p>
        </w:tc>
        <w:tc>
          <w:tcPr>
            <w:tcW w:w="1178" w:type="dxa"/>
            <w:tcBorders/>
            <w:shd w:fill="auto" w:val="clear"/>
            <w:tcMar>
              <w:left w:w="103" w:type="dxa"/>
            </w:tcMar>
          </w:tcPr>
          <w:p>
            <w:pPr>
              <w:pStyle w:val="Normal"/>
              <w:rPr>
                <w:lang w:val="en-GB"/>
              </w:rPr>
            </w:pPr>
            <w:r>
              <w:rPr>
                <w:lang w:val="en-GB"/>
              </w:rPr>
              <w:t>DC=27%</w:t>
            </w:r>
          </w:p>
          <w:p>
            <w:pPr>
              <w:pStyle w:val="Normal"/>
              <w:rPr>
                <w:lang w:val="en-GB"/>
              </w:rPr>
            </w:pPr>
            <w:r>
              <w:rPr>
                <w:lang w:val="en-GB"/>
              </w:rPr>
              <w:t>IS=2%</w:t>
            </w:r>
          </w:p>
        </w:tc>
        <w:tc>
          <w:tcPr>
            <w:tcW w:w="1178" w:type="dxa"/>
            <w:tcBorders/>
            <w:shd w:fill="auto" w:val="clear"/>
            <w:tcMar>
              <w:left w:w="103" w:type="dxa"/>
            </w:tcMar>
          </w:tcPr>
          <w:p>
            <w:pPr>
              <w:pStyle w:val="Normal"/>
              <w:rPr>
                <w:lang w:val="en-GB"/>
              </w:rPr>
            </w:pPr>
            <w:r>
              <w:rPr>
                <w:lang w:val="en-GB"/>
              </w:rPr>
              <w:t>DC=28%</w:t>
            </w:r>
          </w:p>
          <w:p>
            <w:pPr>
              <w:pStyle w:val="Normal"/>
              <w:rPr>
                <w:lang w:val="en-GB"/>
              </w:rPr>
            </w:pPr>
            <w:r>
              <w:rPr>
                <w:lang w:val="en-GB"/>
              </w:rPr>
              <w:t>IS&lt;1%</w:t>
            </w:r>
          </w:p>
        </w:tc>
        <w:tc>
          <w:tcPr>
            <w:tcW w:w="1175" w:type="dxa"/>
            <w:tcBorders/>
            <w:shd w:fill="auto" w:val="clear"/>
            <w:tcMar>
              <w:left w:w="103" w:type="dxa"/>
            </w:tcMar>
          </w:tcPr>
          <w:p>
            <w:pPr>
              <w:pStyle w:val="Normal"/>
              <w:rPr>
                <w:lang w:val="en-GB"/>
              </w:rPr>
            </w:pPr>
            <w:r>
              <w:rPr>
                <w:lang w:val="en-GB"/>
              </w:rPr>
              <w:t>DC=26%</w:t>
            </w:r>
          </w:p>
          <w:p>
            <w:pPr>
              <w:pStyle w:val="Normal"/>
              <w:rPr>
                <w:lang w:val="en-GB"/>
              </w:rPr>
            </w:pPr>
            <w:r>
              <w:rPr>
                <w:lang w:val="en-GB"/>
              </w:rPr>
              <w:t>IS&lt;1%</w:t>
            </w:r>
          </w:p>
        </w:tc>
        <w:tc>
          <w:tcPr>
            <w:tcW w:w="1180" w:type="dxa"/>
            <w:tcBorders/>
            <w:shd w:fill="auto" w:val="clear"/>
            <w:tcMar>
              <w:left w:w="103" w:type="dxa"/>
            </w:tcMar>
          </w:tcPr>
          <w:p>
            <w:pPr>
              <w:pStyle w:val="Normal"/>
              <w:rPr>
                <w:lang w:val="en-GB"/>
              </w:rPr>
            </w:pPr>
            <w:r>
              <w:rPr>
                <w:lang w:val="en-GB"/>
              </w:rPr>
              <w:t>DC=32%</w:t>
            </w:r>
          </w:p>
          <w:p>
            <w:pPr>
              <w:pStyle w:val="Normal"/>
              <w:rPr>
                <w:lang w:val="en-GB"/>
              </w:rPr>
            </w:pPr>
            <w:r>
              <w:rPr>
                <w:lang w:val="en-GB"/>
              </w:rPr>
              <w:t>IS=2%</w:t>
            </w:r>
          </w:p>
        </w:tc>
        <w:tc>
          <w:tcPr>
            <w:tcW w:w="1298" w:type="dxa"/>
            <w:tcBorders/>
            <w:shd w:fill="auto" w:val="clear"/>
            <w:tcMar>
              <w:left w:w="103" w:type="dxa"/>
            </w:tcMar>
          </w:tcPr>
          <w:p>
            <w:pPr>
              <w:pStyle w:val="Normal"/>
              <w:rPr>
                <w:lang w:val="en-GB"/>
              </w:rPr>
            </w:pPr>
            <w:r>
              <w:rPr>
                <w:lang w:val="en-GB"/>
              </w:rPr>
              <w:t>DC=30%</w:t>
            </w:r>
          </w:p>
          <w:p>
            <w:pPr>
              <w:pStyle w:val="Normal"/>
              <w:rPr>
                <w:lang w:val="en-GB"/>
              </w:rPr>
            </w:pPr>
            <w:r>
              <w:rPr>
                <w:lang w:val="en-GB"/>
              </w:rPr>
              <w:t>IS&lt;1%</w:t>
            </w:r>
          </w:p>
        </w:tc>
        <w:tc>
          <w:tcPr>
            <w:tcW w:w="1244" w:type="dxa"/>
            <w:tcBorders/>
            <w:shd w:fill="auto" w:val="clear"/>
            <w:tcMar>
              <w:left w:w="103" w:type="dxa"/>
            </w:tcMar>
          </w:tcPr>
          <w:p>
            <w:pPr>
              <w:pStyle w:val="Normal"/>
              <w:rPr>
                <w:lang w:val="en-GB"/>
              </w:rPr>
            </w:pPr>
            <w:r>
              <w:rPr>
                <w:lang w:val="en-GB"/>
              </w:rPr>
              <w:t>DC=29%</w:t>
            </w:r>
          </w:p>
          <w:p>
            <w:pPr>
              <w:pStyle w:val="Normal"/>
              <w:rPr>
                <w:lang w:val="en-GB"/>
              </w:rPr>
            </w:pPr>
            <w:r>
              <w:rPr>
                <w:lang w:val="en-GB"/>
              </w:rPr>
              <w:t>IS&lt;1%</w:t>
            </w:r>
          </w:p>
        </w:tc>
        <w:tc>
          <w:tcPr>
            <w:tcW w:w="1419" w:type="dxa"/>
            <w:tcBorders/>
            <w:shd w:fill="auto" w:val="clear"/>
            <w:tcMar>
              <w:left w:w="103" w:type="dxa"/>
            </w:tcMar>
          </w:tcPr>
          <w:p>
            <w:pPr>
              <w:pStyle w:val="Normal"/>
              <w:rPr>
                <w:lang w:val="en-GB"/>
              </w:rPr>
            </w:pPr>
            <w:r>
              <w:rPr>
                <w:lang w:val="en-GB"/>
              </w:rPr>
              <w:t>Non-modified</w:t>
            </w:r>
          </w:p>
        </w:tc>
      </w:tr>
      <w:tr>
        <w:trPr/>
        <w:tc>
          <w:tcPr>
            <w:tcW w:w="1391" w:type="dxa"/>
            <w:tcBorders/>
            <w:shd w:fill="auto" w:val="clear"/>
            <w:tcMar>
              <w:left w:w="103" w:type="dxa"/>
            </w:tcMar>
          </w:tcPr>
          <w:p>
            <w:pPr>
              <w:pStyle w:val="Normal"/>
              <w:rPr>
                <w:lang w:val="en-GB"/>
              </w:rPr>
            </w:pPr>
            <w:r>
              <w:rPr>
                <w:lang w:val="en-GB"/>
              </w:rPr>
              <w:t>100% VL prevalence</w:t>
            </w:r>
          </w:p>
        </w:tc>
        <w:tc>
          <w:tcPr>
            <w:tcW w:w="1178" w:type="dxa"/>
            <w:tcBorders/>
            <w:shd w:fill="auto" w:val="clear"/>
            <w:tcMar>
              <w:left w:w="103" w:type="dxa"/>
            </w:tcMar>
          </w:tcPr>
          <w:p>
            <w:pPr>
              <w:pStyle w:val="Normal"/>
              <w:rPr>
                <w:lang w:val="en-GB"/>
              </w:rPr>
            </w:pPr>
            <w:r>
              <w:rPr>
                <w:lang w:val="en-GB"/>
              </w:rPr>
              <w:t>IC=25%</w:t>
            </w:r>
          </w:p>
          <w:p>
            <w:pPr>
              <w:pStyle w:val="Normal"/>
              <w:rPr>
                <w:lang w:val="en-GB"/>
              </w:rPr>
            </w:pPr>
            <w:r>
              <w:rPr>
                <w:lang w:val="en-GB"/>
              </w:rPr>
              <w:t>DS=2%</w:t>
            </w:r>
          </w:p>
        </w:tc>
        <w:tc>
          <w:tcPr>
            <w:tcW w:w="1178" w:type="dxa"/>
            <w:tcBorders/>
            <w:shd w:fill="auto" w:val="clear"/>
            <w:tcMar>
              <w:left w:w="103" w:type="dxa"/>
            </w:tcMar>
          </w:tcPr>
          <w:p>
            <w:pPr>
              <w:pStyle w:val="Normal"/>
              <w:rPr>
                <w:lang w:val="en-GB"/>
              </w:rPr>
            </w:pPr>
            <w:r>
              <w:rPr>
                <w:lang w:val="en-GB"/>
              </w:rPr>
              <w:t>IC=31%</w:t>
            </w:r>
          </w:p>
          <w:p>
            <w:pPr>
              <w:pStyle w:val="Normal"/>
              <w:rPr>
                <w:lang w:val="en-GB"/>
              </w:rPr>
            </w:pPr>
            <w:r>
              <w:rPr>
                <w:lang w:val="en-GB"/>
              </w:rPr>
              <w:t>DS&lt;1%</w:t>
            </w:r>
          </w:p>
        </w:tc>
        <w:tc>
          <w:tcPr>
            <w:tcW w:w="1175" w:type="dxa"/>
            <w:tcBorders/>
            <w:shd w:fill="auto" w:val="clear"/>
            <w:tcMar>
              <w:left w:w="103" w:type="dxa"/>
            </w:tcMar>
          </w:tcPr>
          <w:p>
            <w:pPr>
              <w:pStyle w:val="Normal"/>
              <w:rPr>
                <w:lang w:val="en-GB"/>
              </w:rPr>
            </w:pPr>
            <w:r>
              <w:rPr>
                <w:lang w:val="en-GB"/>
              </w:rPr>
              <w:t>IC=29%</w:t>
            </w:r>
          </w:p>
          <w:p>
            <w:pPr>
              <w:pStyle w:val="Normal"/>
              <w:rPr>
                <w:lang w:val="en-GB"/>
              </w:rPr>
            </w:pPr>
            <w:r>
              <w:rPr>
                <w:lang w:val="en-GB"/>
              </w:rPr>
              <w:t>DS&lt;1%</w:t>
            </w:r>
          </w:p>
        </w:tc>
        <w:tc>
          <w:tcPr>
            <w:tcW w:w="1180" w:type="dxa"/>
            <w:tcBorders/>
            <w:shd w:fill="auto" w:val="clear"/>
            <w:tcMar>
              <w:left w:w="103" w:type="dxa"/>
            </w:tcMar>
          </w:tcPr>
          <w:p>
            <w:pPr>
              <w:pStyle w:val="Normal"/>
              <w:rPr>
                <w:lang w:val="en-GB"/>
              </w:rPr>
            </w:pPr>
            <w:r>
              <w:rPr>
                <w:lang w:val="en-GB"/>
              </w:rPr>
              <w:t>IC=28%</w:t>
            </w:r>
          </w:p>
          <w:p>
            <w:pPr>
              <w:pStyle w:val="Normal"/>
              <w:rPr>
                <w:lang w:val="en-GB"/>
              </w:rPr>
            </w:pPr>
            <w:r>
              <w:rPr>
                <w:lang w:val="en-GB"/>
              </w:rPr>
              <w:t>DS=2%</w:t>
            </w:r>
          </w:p>
        </w:tc>
        <w:tc>
          <w:tcPr>
            <w:tcW w:w="1298" w:type="dxa"/>
            <w:tcBorders/>
            <w:shd w:fill="auto" w:val="clear"/>
            <w:tcMar>
              <w:left w:w="103" w:type="dxa"/>
            </w:tcMar>
          </w:tcPr>
          <w:p>
            <w:pPr>
              <w:pStyle w:val="Normal"/>
              <w:rPr>
                <w:lang w:val="en-GB"/>
              </w:rPr>
            </w:pPr>
            <w:r>
              <w:rPr>
                <w:lang w:val="en-GB"/>
              </w:rPr>
              <w:t>IC=33%</w:t>
            </w:r>
          </w:p>
          <w:p>
            <w:pPr>
              <w:pStyle w:val="Normal"/>
              <w:rPr>
                <w:lang w:val="en-GB"/>
              </w:rPr>
            </w:pPr>
            <w:r>
              <w:rPr>
                <w:lang w:val="en-GB"/>
              </w:rPr>
              <w:t>DS&lt;1%</w:t>
            </w:r>
          </w:p>
        </w:tc>
        <w:tc>
          <w:tcPr>
            <w:tcW w:w="1244" w:type="dxa"/>
            <w:tcBorders/>
            <w:shd w:fill="auto" w:val="clear"/>
            <w:tcMar>
              <w:left w:w="103" w:type="dxa"/>
            </w:tcMar>
          </w:tcPr>
          <w:p>
            <w:pPr>
              <w:pStyle w:val="Normal"/>
              <w:rPr>
                <w:lang w:val="en-GB"/>
              </w:rPr>
            </w:pPr>
            <w:r>
              <w:rPr>
                <w:lang w:val="en-GB"/>
              </w:rPr>
              <w:t>IC=32%</w:t>
            </w:r>
          </w:p>
          <w:p>
            <w:pPr>
              <w:pStyle w:val="Normal"/>
              <w:rPr>
                <w:lang w:val="en-GB"/>
              </w:rPr>
            </w:pPr>
            <w:r>
              <w:rPr>
                <w:lang w:val="en-GB"/>
              </w:rPr>
              <w:t>DS&lt;1%</w:t>
            </w:r>
          </w:p>
        </w:tc>
        <w:tc>
          <w:tcPr>
            <w:tcW w:w="1419" w:type="dxa"/>
            <w:tcBorders/>
            <w:shd w:fill="auto" w:val="clear"/>
            <w:tcMar>
              <w:left w:w="103" w:type="dxa"/>
            </w:tcMar>
          </w:tcPr>
          <w:p>
            <w:pPr>
              <w:pStyle w:val="Normal"/>
              <w:rPr>
                <w:lang w:val="en-GB"/>
              </w:rPr>
            </w:pPr>
            <w:r>
              <w:rPr>
                <w:lang w:val="en-GB"/>
              </w:rPr>
              <w:t>Non-modified</w:t>
            </w:r>
          </w:p>
        </w:tc>
      </w:tr>
    </w:tbl>
    <w:p>
      <w:pPr>
        <w:pStyle w:val="Normal"/>
        <w:rPr>
          <w:sz w:val="22"/>
          <w:szCs w:val="22"/>
          <w:lang w:val="en-GB"/>
        </w:rPr>
      </w:pPr>
      <w:r>
        <w:rPr>
          <w:sz w:val="22"/>
          <w:szCs w:val="22"/>
          <w:lang w:val="en-GB"/>
        </w:rPr>
        <w:t>*Efficacy referred to relapse cases only</w:t>
      </w:r>
    </w:p>
    <w:p>
      <w:pPr>
        <w:sectPr>
          <w:footerReference w:type="default" r:id="rId39"/>
          <w:type w:val="nextPage"/>
          <w:pgSz w:orient="landscape" w:w="15840" w:h="12240"/>
          <w:pgMar w:left="1417" w:right="1417" w:header="0" w:top="1701" w:footer="708" w:bottom="1701" w:gutter="0"/>
          <w:pgNumType w:fmt="decimal"/>
          <w:formProt w:val="false"/>
          <w:textDirection w:val="lrTb"/>
          <w:docGrid w:type="default" w:linePitch="360" w:charSpace="4294961151"/>
        </w:sectPr>
        <w:pStyle w:val="Normal"/>
        <w:spacing w:lineRule="auto" w:line="360"/>
        <w:rPr>
          <w:sz w:val="20"/>
          <w:szCs w:val="20"/>
          <w:lang w:val="en-GB"/>
        </w:rPr>
      </w:pPr>
      <w:r>
        <w:rPr>
          <w:sz w:val="20"/>
          <w:szCs w:val="20"/>
          <w:lang w:val="en-GB"/>
        </w:rPr>
      </w:r>
    </w:p>
    <w:p>
      <w:pPr>
        <w:pStyle w:val="Normal"/>
        <w:spacing w:lineRule="auto" w:line="360"/>
        <w:rPr>
          <w:sz w:val="20"/>
          <w:szCs w:val="20"/>
          <w:lang w:val="en-GB"/>
        </w:rPr>
      </w:pPr>
      <w:r>
        <w:rPr>
          <w:b/>
          <w:sz w:val="20"/>
          <w:szCs w:val="20"/>
          <w:lang w:val="en-GB"/>
        </w:rPr>
        <w:t>Table S6</w:t>
      </w:r>
      <w:r>
        <w:rPr>
          <w:sz w:val="20"/>
          <w:szCs w:val="20"/>
          <w:lang w:val="en-GB"/>
        </w:rPr>
        <w:t xml:space="preserve"> Detailed results of the threshold analysis. Montecarlo simulations outcomes of the probabilistic sensitivity analysis for different prices of Liposomal amphotericin B (L-AmB), including the proposed subsidised price of 18 US$/vial. The table compares the introduction of six-day course L-AmB as treatment (strategy B) and the introduction of two-day course L-AmB as treatment (strategy C) to current practices. Negative incremental costs represent cost-savings respect to current practices, strategies are considered cost-effective at prices with an associated ICER below 9,571 US$, while strategies are considered highly cost-effective at prices with an associated ICERs below 3,190 US$. </w:t>
      </w:r>
    </w:p>
    <w:p>
      <w:pPr>
        <w:pStyle w:val="Normal"/>
        <w:spacing w:lineRule="auto" w:line="360"/>
        <w:rPr>
          <w:b/>
          <w:b/>
          <w:sz w:val="22"/>
          <w:szCs w:val="22"/>
          <w:lang w:val="en-GB"/>
        </w:rPr>
      </w:pPr>
      <w:r>
        <w:rPr>
          <w:b/>
          <w:sz w:val="22"/>
          <w:szCs w:val="22"/>
          <w:lang w:val="en-GB"/>
        </w:rPr>
      </w:r>
    </w:p>
    <w:tbl>
      <w:tblPr>
        <w:tblW w:w="11199" w:type="dxa"/>
        <w:jc w:val="left"/>
        <w:tblInd w:w="-1064" w:type="dxa"/>
        <w:tblBorders>
          <w:right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707"/>
        <w:gridCol w:w="994"/>
        <w:gridCol w:w="709"/>
        <w:gridCol w:w="707"/>
        <w:gridCol w:w="709"/>
        <w:gridCol w:w="708"/>
        <w:gridCol w:w="709"/>
        <w:gridCol w:w="709"/>
        <w:gridCol w:w="992"/>
        <w:gridCol w:w="709"/>
        <w:gridCol w:w="709"/>
        <w:gridCol w:w="708"/>
        <w:gridCol w:w="708"/>
        <w:gridCol w:w="708"/>
        <w:gridCol w:w="713"/>
      </w:tblGrid>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 </w:t>
            </w:r>
          </w:p>
        </w:tc>
        <w:tc>
          <w:tcPr>
            <w:tcW w:w="1703"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B</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1701" w:type="dxa"/>
            <w:gridSpan w:val="2"/>
            <w:tcBorders>
              <w:left w:val="single" w:sz="4" w:space="0" w:color="00000A"/>
              <w:right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Strategy A vs C</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r>
          </w:p>
        </w:tc>
      </w:tr>
      <w:tr>
        <w:trPr>
          <w:trHeight w:val="660" w:hRule="atLeast"/>
        </w:trPr>
        <w:tc>
          <w:tcPr>
            <w:tcW w:w="707"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Price    L-AmB</w:t>
            </w:r>
          </w:p>
        </w:tc>
        <w:tc>
          <w:tcPr>
            <w:tcW w:w="99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ICER</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0"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Incremental costs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Deaths averted</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jc w:val="center"/>
              <w:rPr>
                <w:rFonts w:ascii="Calibri" w:hAnsi="Calibri" w:eastAsia="Times New Roman" w:cs="Times New Roman"/>
                <w:b/>
                <w:b/>
                <w:bCs/>
                <w:i/>
                <w:i/>
                <w:iCs/>
                <w:color w:val="000000"/>
                <w:sz w:val="16"/>
                <w:szCs w:val="16"/>
                <w:lang w:val="en-GB"/>
              </w:rPr>
            </w:pPr>
            <w:r>
              <w:rPr>
                <w:rFonts w:eastAsia="Times New Roman" w:cs="Times New Roman" w:ascii="Calibri" w:hAnsi="Calibri"/>
                <w:b/>
                <w:bCs/>
                <w:color w:val="000000"/>
                <w:sz w:val="16"/>
                <w:szCs w:val="16"/>
                <w:lang w:val="en-GB"/>
              </w:rPr>
              <w:t>ICER</w:t>
            </w:r>
          </w:p>
        </w:tc>
        <w:tc>
          <w:tcPr>
            <w:tcW w:w="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Lower CI</w:t>
            </w:r>
          </w:p>
        </w:tc>
        <w:tc>
          <w:tcPr>
            <w:tcW w:w="7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bottom"/>
          </w:tcPr>
          <w:p>
            <w:pPr>
              <w:pStyle w:val="Normal"/>
              <w:rPr>
                <w:rFonts w:ascii="Calibri" w:hAnsi="Calibri" w:eastAsia="Times New Roman" w:cs="Times New Roman"/>
                <w:b/>
                <w:b/>
                <w:bCs/>
                <w:color w:val="000000"/>
                <w:sz w:val="16"/>
                <w:szCs w:val="16"/>
                <w:lang w:val="en-GB"/>
              </w:rPr>
            </w:pPr>
            <w:r>
              <w:rPr>
                <w:rFonts w:eastAsia="Times New Roman" w:cs="Times New Roman" w:ascii="Calibri" w:hAnsi="Calibri"/>
                <w:b/>
                <w:bCs/>
                <w:color w:val="000000"/>
                <w:sz w:val="16"/>
                <w:szCs w:val="16"/>
                <w:lang w:val="en-GB"/>
              </w:rPr>
              <w:t>Upper CI</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-34,740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-37,466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-9,086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-7,761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-52,836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-49,921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-11,068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-28,176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-30,530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-49,314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-44,335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-9,723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-10,249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-9,197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-32,793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-27,495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-6,817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-46,483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-10,008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-10,570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-28,468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-31,246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-51,284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-9,814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-9,229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-26,746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-29,325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-43,785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-9,410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-8,853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-25,523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-5,098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-43,175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-45,872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-40,478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-9,279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-22,825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-5,140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-5,752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-40,392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-42,968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-37,815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-8,826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-7,785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-17,997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-4,492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-39,342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-8,613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-9,213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-14,835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-3,765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-39,614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-42,577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-36,650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-13,367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-10,725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-2,612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-38,995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-33,447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-7,296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-6,745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-13,970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-16,749</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-11,192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-40,126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-7,430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-8,015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-6,846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-11,194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-5,873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-2,146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-32,379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-35,158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-29,601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-6,515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-7,054</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-5,975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-1,129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-31,764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-34,541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-28,986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-5,241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-8,032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-29,588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-26,625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-5,922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-6,496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-5,347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2,337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691</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-25,104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-27,672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-22,535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-5,069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-5,599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-3,642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-670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635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-26,618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-29,455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-23,782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-5,210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-5,765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-4,655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-318</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-23,992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-26,886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-21,098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-4,897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-5,507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-4,286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Cs/>
                <w:sz w:val="16"/>
                <w:szCs w:val="16"/>
                <w:lang w:val="en-GB"/>
              </w:rPr>
            </w:pPr>
            <w:r>
              <w:rPr>
                <w:rFonts w:eastAsia="Times New Roman" w:cs="Times New Roman" w:ascii="Calibri" w:hAnsi="Calibri"/>
                <w:bCs/>
                <w:sz w:val="16"/>
                <w:szCs w:val="16"/>
                <w:lang w:val="en-GB"/>
              </w:rPr>
              <w:t>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4,855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7,520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1,378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710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4F81BD" w:themeColor="accent1"/>
                <w:sz w:val="16"/>
                <w:szCs w:val="16"/>
                <w:lang w:val="en-GB"/>
              </w:rPr>
            </w:pPr>
            <w:r>
              <w:rPr>
                <w:rFonts w:eastAsia="Times New Roman" w:cs="Times New Roman" w:ascii="Calibri" w:hAnsi="Calibri"/>
                <w:sz w:val="16"/>
                <w:szCs w:val="16"/>
                <w:lang w:val="en-GB"/>
              </w:rPr>
              <w:t>2,046</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-21,717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-24,533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-18,902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-4,355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-3,790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85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7,057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12,142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2,431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3,074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-17,362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-20,014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-14,711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-4,077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10,415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2,723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-20,467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-23,526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-17,408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-3,981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-4,563</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-3,399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95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10,456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7,744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13,167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2,751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2,072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3,429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-18,380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-21,220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-3,629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-4,197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-3,060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3,182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4,548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-14,228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-17,045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-11,411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-2,850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-2,274</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105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19,905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17,383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22,427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5,030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5,653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-9,776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-12,385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-7,166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-1,945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-2,466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21,708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19,226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24,191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5,085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-8,222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-5,640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-2,056</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-1,051</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115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22,924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20,337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5,794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6,463</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-5,153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-2,147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120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25,181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22,384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27,979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6,364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5,676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7,052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-6,645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-9,572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-3,719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-1,282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-1,859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125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30,196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27,637</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32,755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7,605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6,977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8,232</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-1,707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-4,347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-299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-825</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30,977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28,380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33,574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7,815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8,480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-3,904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1,451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-837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277</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135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31,183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28,243</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34,123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8,097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7,409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8,785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-1,761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-4,842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1,320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-728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420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34,757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32,165</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37,350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8,845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8,207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b/>
                <w:bCs/>
                <w:sz w:val="16"/>
                <w:szCs w:val="16"/>
                <w:lang w:val="en-GB"/>
              </w:rPr>
              <w:t>9,484</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4,155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-120</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932</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145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38,083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35,362</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40,805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9,844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9,168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10,520</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4,229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1,421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7,036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481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1,595</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42,098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39,541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44,654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9,996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11,295</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7,524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4,908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10,139</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1,600</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1,069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2,130</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155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41,425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38,644</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44,205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10,391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9,685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11,097</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6,055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3,202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8,908</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687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1,839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160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45,288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42,710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47,865</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11,587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10,947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12,228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9,748</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7,100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12,395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2,065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1,541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2,588</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b/>
                <w:b/>
                <w:bCs/>
                <w:sz w:val="16"/>
                <w:szCs w:val="16"/>
                <w:lang w:val="en-GB"/>
              </w:rPr>
            </w:pPr>
            <w:r>
              <w:rPr>
                <w:rFonts w:eastAsia="Times New Roman" w:cs="Times New Roman" w:ascii="Calibri" w:hAnsi="Calibri"/>
                <w:b/>
                <w:bCs/>
                <w:sz w:val="16"/>
                <w:szCs w:val="16"/>
                <w:lang w:val="en-GB"/>
              </w:rPr>
              <w:t>165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46,843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44,190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49,497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11,932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11,246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12,618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10,366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7,632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13,101</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2,272</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1,719</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FF0000"/>
                <w:sz w:val="16"/>
                <w:szCs w:val="16"/>
                <w:lang w:val="en-GB"/>
              </w:rPr>
            </w:pPr>
            <w:r>
              <w:rPr>
                <w:rFonts w:eastAsia="Times New Roman" w:cs="Times New Roman" w:ascii="Calibri" w:hAnsi="Calibri"/>
                <w:sz w:val="16"/>
                <w:szCs w:val="16"/>
                <w:lang w:val="en-GB"/>
              </w:rPr>
              <w:t>2,826</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52,200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49,546</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7"/>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54,853</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12,426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13,739</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14,901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12,234</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17,567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3,086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2,558</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5"/>
              <w:rPr>
                <w:rFonts w:ascii="Calibri" w:hAnsi="Calibri" w:eastAsia="Times New Roman" w:cs="Times New Roman" w:asciiTheme="majorHAnsi" w:hAnsiTheme="majorHAnsi"/>
                <w:b/>
                <w:b/>
                <w:bCs/>
                <w:color w:val="000000"/>
                <w:sz w:val="16"/>
                <w:szCs w:val="16"/>
                <w:lang w:val="en-GB"/>
              </w:rPr>
            </w:pPr>
            <w:r>
              <w:rPr>
                <w:rFonts w:eastAsia="Times New Roman" w:cs="Times New Roman" w:ascii="Calibri" w:hAnsi="Calibri"/>
                <w:sz w:val="16"/>
                <w:szCs w:val="16"/>
                <w:lang w:val="en-GB"/>
              </w:rPr>
              <w:t>3,613</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175</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52,369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49,671</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55,067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13,107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12,436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13,778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15,076</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12,327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17,824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3,073</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2,527</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b/>
                <w:bCs/>
                <w:sz w:val="16"/>
                <w:szCs w:val="16"/>
                <w:lang w:val="en-GB"/>
              </w:rPr>
              <w:t>3,619</w:t>
            </w:r>
          </w:p>
        </w:tc>
      </w:tr>
      <w:tr>
        <w:trPr>
          <w:trHeight w:val="280" w:hRule="atLeast"/>
        </w:trPr>
        <w:tc>
          <w:tcPr>
            <w:tcW w:w="707" w:type="dxa"/>
            <w:tcBorders>
              <w:right w:val="single" w:sz="4" w:space="0" w:color="00000A"/>
              <w:insideV w:val="single" w:sz="4" w:space="0" w:color="00000A"/>
            </w:tcBorders>
            <w:shd w:color="auto" w:fill="auto" w:val="clear"/>
            <w:vAlign w:val="bottom"/>
          </w:tcPr>
          <w:p>
            <w:pPr>
              <w:pStyle w:val="Normal"/>
              <w:jc w:val="right"/>
              <w:rPr>
                <w:rFonts w:ascii="Calibri" w:hAnsi="Calibri" w:eastAsia="Times New Roman" w:cs="Times New Roman"/>
                <w:color w:val="000000"/>
                <w:sz w:val="16"/>
                <w:szCs w:val="16"/>
                <w:lang w:val="en-GB"/>
              </w:rPr>
            </w:pPr>
            <w:r>
              <w:rPr>
                <w:rFonts w:eastAsia="Times New Roman" w:cs="Times New Roman" w:ascii="Calibri" w:hAnsi="Calibri"/>
                <w:color w:val="000000"/>
                <w:sz w:val="16"/>
                <w:szCs w:val="16"/>
                <w:lang w:val="en-GB"/>
              </w:rPr>
              <w:t>180</w:t>
            </w:r>
          </w:p>
        </w:tc>
        <w:tc>
          <w:tcPr>
            <w:tcW w:w="994"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55,111</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52,140</w:t>
            </w:r>
          </w:p>
        </w:tc>
        <w:tc>
          <w:tcPr>
            <w:tcW w:w="707"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58,082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13,790</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8"/>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13,072</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1"/>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14,508</w:t>
            </w:r>
          </w:p>
        </w:tc>
        <w:tc>
          <w:tcPr>
            <w:tcW w:w="992" w:type="dxa"/>
            <w:tcBorders>
              <w:left w:val="single" w:sz="4" w:space="0" w:color="00000A"/>
              <w:right w:val="single" w:sz="4" w:space="0" w:color="00000A"/>
              <w:insideV w:val="single" w:sz="4" w:space="0" w:color="00000A"/>
            </w:tcBorders>
            <w:shd w:color="auto" w:fill="auto" w:val="clear"/>
            <w:tcMar>
              <w:left w:w="60"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16,947</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13,869</w:t>
            </w:r>
          </w:p>
        </w:tc>
        <w:tc>
          <w:tcPr>
            <w:tcW w:w="709"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20,026</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5</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3,507</w:t>
            </w:r>
          </w:p>
        </w:tc>
        <w:tc>
          <w:tcPr>
            <w:tcW w:w="708"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2,921</w:t>
            </w:r>
          </w:p>
        </w:tc>
        <w:tc>
          <w:tcPr>
            <w:tcW w:w="713" w:type="dxa"/>
            <w:tcBorders>
              <w:left w:val="single" w:sz="4" w:space="0" w:color="00000A"/>
              <w:right w:val="single" w:sz="4" w:space="0" w:color="00000A"/>
              <w:insideV w:val="single" w:sz="4" w:space="0" w:color="00000A"/>
            </w:tcBorders>
            <w:shd w:color="auto" w:fill="auto" w:val="clear"/>
            <w:tcMar>
              <w:left w:w="65" w:type="dxa"/>
            </w:tcMar>
            <w:vAlign w:val="bottom"/>
          </w:tcPr>
          <w:p>
            <w:pPr>
              <w:pStyle w:val="Normal"/>
              <w:keepNext/>
              <w:keepLines/>
              <w:numPr>
                <w:ilvl w:val="0"/>
                <w:numId w:val="0"/>
              </w:numPr>
              <w:spacing w:before="200" w:after="0"/>
              <w:jc w:val="right"/>
              <w:outlineLvl w:val="3"/>
              <w:rPr>
                <w:rFonts w:ascii="Calibri" w:hAnsi="Calibri" w:eastAsia="Times New Roman" w:cs="Times New Roman" w:asciiTheme="majorHAnsi" w:hAnsiTheme="majorHAnsi"/>
                <w:color w:val="000000"/>
                <w:sz w:val="16"/>
                <w:szCs w:val="16"/>
                <w:lang w:val="en-GB"/>
              </w:rPr>
            </w:pPr>
            <w:r>
              <w:rPr>
                <w:rFonts w:eastAsia="Times New Roman" w:cs="Times New Roman" w:ascii="Calibri" w:hAnsi="Calibri"/>
                <w:sz w:val="16"/>
                <w:szCs w:val="16"/>
                <w:lang w:val="en-GB"/>
              </w:rPr>
              <w:t>4,093</w:t>
            </w:r>
          </w:p>
        </w:tc>
      </w:tr>
    </w:tbl>
    <w:p>
      <w:pPr>
        <w:pStyle w:val="Normal"/>
        <w:spacing w:lineRule="auto" w:line="360"/>
        <w:rPr>
          <w:b/>
          <w:b/>
          <w:sz w:val="22"/>
          <w:szCs w:val="22"/>
          <w:lang w:val="en-GB"/>
        </w:rPr>
      </w:pPr>
      <w:r>
        <w:rPr>
          <w:b/>
          <w:sz w:val="22"/>
          <w:szCs w:val="22"/>
          <w:lang w:val="en-GB"/>
        </w:rPr>
      </w:r>
    </w:p>
    <w:p>
      <w:pPr>
        <w:pStyle w:val="Normal"/>
        <w:spacing w:lineRule="auto" w:line="360"/>
        <w:rPr>
          <w:b/>
          <w:b/>
          <w:sz w:val="22"/>
          <w:szCs w:val="22"/>
          <w:lang w:val="en-GB"/>
        </w:rPr>
      </w:pPr>
      <w:r>
        <w:rPr>
          <w:b/>
          <w:sz w:val="22"/>
          <w:szCs w:val="22"/>
          <w:lang w:val="en-GB"/>
        </w:rPr>
      </w:r>
    </w:p>
    <w:p>
      <w:pPr>
        <w:pStyle w:val="Normal"/>
        <w:rPr>
          <w:sz w:val="20"/>
          <w:szCs w:val="20"/>
          <w:lang w:val="en-GB"/>
        </w:rPr>
      </w:pPr>
      <w:r>
        <w:rPr>
          <w:sz w:val="20"/>
          <w:szCs w:val="20"/>
          <w:lang w:val="en-GB"/>
        </w:rPr>
      </w:r>
    </w:p>
    <w:p>
      <w:pPr>
        <w:pStyle w:val="Normal"/>
        <w:rPr>
          <w:sz w:val="20"/>
          <w:szCs w:val="20"/>
          <w:lang w:val="en-GB"/>
        </w:rPr>
      </w:pPr>
      <w:r>
        <w:rPr>
          <w:sz w:val="20"/>
          <w:szCs w:val="20"/>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en-GB"/>
        </w:rPr>
      </w:pPr>
      <w:r>
        <w:rPr>
          <w:rFonts w:eastAsia="ＭＳ ゴシック" w:cs="" w:cstheme="majorBidi" w:eastAsiaTheme="majorEastAsia" w:ascii="Calibri" w:hAnsi="Calibri"/>
          <w:b/>
          <w:bCs/>
          <w:color w:val="4F81BD" w:themeColor="accent1"/>
          <w:sz w:val="26"/>
          <w:szCs w:val="26"/>
          <w:lang w:val="en-GB"/>
        </w:rPr>
      </w:r>
      <w:r>
        <w:br w:type="page"/>
      </w:r>
    </w:p>
    <w:p>
      <w:pPr>
        <w:pStyle w:val="Heading2"/>
        <w:spacing w:lineRule="auto" w:line="360"/>
        <w:rPr>
          <w:lang w:val="en-GB"/>
        </w:rPr>
      </w:pPr>
      <w:bookmarkStart w:id="298" w:name="_Toc381257047"/>
      <w:bookmarkStart w:id="299" w:name="_Toc382138194"/>
      <w:bookmarkEnd w:id="298"/>
      <w:bookmarkEnd w:id="299"/>
      <w:r>
        <w:rPr>
          <w:lang w:val="en-GB"/>
        </w:rPr>
        <w:t>Article 3</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sz w:val="28"/>
          <w:szCs w:val="28"/>
          <w:lang w:val="en-GB"/>
        </w:rPr>
      </w:pPr>
      <w:r>
        <w:rPr>
          <w:rFonts w:ascii="Calibri" w:hAnsi="Calibri" w:asciiTheme="majorHAnsi" w:hAnsiTheme="majorHAnsi"/>
          <w:b/>
          <w:sz w:val="28"/>
          <w:szCs w:val="28"/>
          <w:lang w:val="en-GB"/>
        </w:rPr>
        <w:t xml:space="preserve">Market for Artemether‐Lumefantrine to treat childhood malaria in a district of southern Mozambique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Khátia Munguambe, Elisa Sicuri</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Health Economics. 2017. </w:t>
      </w:r>
      <w:hyperlink r:id="rId40">
        <w:r>
          <w:rPr>
            <w:rStyle w:val="InternetLink"/>
            <w:rFonts w:ascii="Calibri" w:hAnsi="Calibri" w:asciiTheme="majorHAnsi" w:hAnsiTheme="majorHAnsi"/>
            <w:lang w:val="en-GB"/>
          </w:rPr>
          <w:t>https://doi.org/10.1002/hec.3514</w:t>
        </w:r>
      </w:hyperlink>
      <w:r>
        <w:rPr>
          <w:rFonts w:ascii="Calibri" w:hAnsi="Calibri" w:asciiTheme="majorHAnsi" w:hAnsiTheme="majorHAnsi"/>
          <w:lang w:val="en-GB"/>
        </w:rPr>
        <w:t xml:space="preserve"> </w:t>
      </w:r>
    </w:p>
    <w:p>
      <w:pPr>
        <w:pStyle w:val="Normal"/>
        <w:rPr>
          <w:rFonts w:ascii="Calibri" w:hAnsi="Calibri" w:asciiTheme="majorHAnsi" w:hAnsiTheme="majorHAnsi"/>
          <w:lang w:val="en-GB"/>
        </w:rPr>
      </w:pPr>
      <w:r>
        <w:rPr>
          <w:rFonts w:asciiTheme="majorHAnsi" w:hAnsiTheme="majorHAnsi" w:ascii="Calibri" w:hAnsi="Calibri"/>
          <w:lang w:val="en-GB"/>
        </w:rPr>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b/>
          <w:sz w:val="20"/>
          <w:szCs w:val="20"/>
          <w:lang w:val="en-GB" w:eastAsia="en-GB"/>
        </w:rPr>
      </w:r>
      <w:r>
        <w:br w:type="page"/>
      </w:r>
    </w:p>
    <w:p>
      <w:pPr>
        <w:pStyle w:val="Normal"/>
        <w:rPr>
          <w:b/>
          <w:b/>
          <w:sz w:val="20"/>
          <w:szCs w:val="20"/>
          <w:lang w:val="en-GB" w:eastAsia="en-GB"/>
        </w:rPr>
      </w:pPr>
      <w:r>
        <w:rPr/>
        <w:drawing>
          <wp:inline distT="0" distB="0" distL="0" distR="0">
            <wp:extent cx="5753100" cy="8153400"/>
            <wp:effectExtent l="0" t="0" r="0" b="0"/>
            <wp:docPr id="34" name="Imagen 9" descr="Macintosh HD:Users:sergialonso:Documents:Article pages:Malmarket: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 descr="Macintosh HD:Users:sergialonso:Documents:Article pages:Malmarket:1_Alonso_et_al-2017-Health_Economics.pdf"/>
                    <pic:cNvPicPr>
                      <a:picLocks noChangeAspect="1" noChangeArrowheads="1"/>
                    </pic:cNvPicPr>
                  </pic:nvPicPr>
                  <pic:blipFill>
                    <a:blip r:embed="rId4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5" name="Imagen 11" descr="Macintosh HD:Users:sergialonso:Documents:Article pages:Malmarket: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1" descr="Macintosh HD:Users:sergialonso:Documents:Article pages:Malmarket:2_Alonso_et_al-2017-Health_Economics.pdf"/>
                    <pic:cNvPicPr>
                      <a:picLocks noChangeAspect="1" noChangeArrowheads="1"/>
                    </pic:cNvPicPr>
                  </pic:nvPicPr>
                  <pic:blipFill>
                    <a:blip r:embed="rId4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6" name="Imagen 13" descr="Macintosh HD:Users:sergialonso:Documents:Article pages:Malmarket: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3" descr="Macintosh HD:Users:sergialonso:Documents:Article pages:Malmarket:3_Alonso_et_al-2017-Health_Economics.pdf"/>
                    <pic:cNvPicPr>
                      <a:picLocks noChangeAspect="1" noChangeArrowheads="1"/>
                    </pic:cNvPicPr>
                  </pic:nvPicPr>
                  <pic:blipFill>
                    <a:blip r:embed="rId4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7" name="Imagen 14" descr="Macintosh HD:Users:sergialonso:Documents:Article pages:Malmarket: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4" descr="Macintosh HD:Users:sergialonso:Documents:Article pages:Malmarket:4_Alonso_et_al-2017-Health_Economics.pdf"/>
                    <pic:cNvPicPr>
                      <a:picLocks noChangeAspect="1" noChangeArrowheads="1"/>
                    </pic:cNvPicPr>
                  </pic:nvPicPr>
                  <pic:blipFill>
                    <a:blip r:embed="rId4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8" name="Imagen 15" descr="Macintosh HD:Users:sergialonso:Documents:Article pages:Malmarket: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5" descr="Macintosh HD:Users:sergialonso:Documents:Article pages:Malmarket:5_Alonso_et_al-2017-Health_Economics.pdf"/>
                    <pic:cNvPicPr>
                      <a:picLocks noChangeAspect="1" noChangeArrowheads="1"/>
                    </pic:cNvPicPr>
                  </pic:nvPicPr>
                  <pic:blipFill>
                    <a:blip r:embed="rId4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39" name="Imagen 29" descr="Macintosh HD:Users:sergialonso:Documents:Article pages:Malmarket: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Macintosh HD:Users:sergialonso:Documents:Article pages:Malmarket:6_Alonso_et_al-2017-Health_Economics.pdf"/>
                    <pic:cNvPicPr>
                      <a:picLocks noChangeAspect="1" noChangeArrowheads="1"/>
                    </pic:cNvPicPr>
                  </pic:nvPicPr>
                  <pic:blipFill>
                    <a:blip r:embed="rId46"/>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0" name="Imagen 30" descr="Macintosh HD:Users:sergialonso:Documents:Article pages:Malmarket:7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0" descr="Macintosh HD:Users:sergialonso:Documents:Article pages:Malmarket:7_Alonso_et_al-2017-Health_Economics.pdf"/>
                    <pic:cNvPicPr>
                      <a:picLocks noChangeAspect="1" noChangeArrowheads="1"/>
                    </pic:cNvPicPr>
                  </pic:nvPicPr>
                  <pic:blipFill>
                    <a:blip r:embed="rId47"/>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1" name="Imagen 31" descr="Macintosh HD:Users:sergialonso:Documents:Article pages:Malmarket:8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1" descr="Macintosh HD:Users:sergialonso:Documents:Article pages:Malmarket:8_Alonso_et_al-2017-Health_Economics.pdf"/>
                    <pic:cNvPicPr>
                      <a:picLocks noChangeAspect="1" noChangeArrowheads="1"/>
                    </pic:cNvPicPr>
                  </pic:nvPicPr>
                  <pic:blipFill>
                    <a:blip r:embed="rId48"/>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2" name="Imagen 32" descr="Macintosh HD:Users:sergialonso:Documents:Article pages:Malmarket:9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2" descr="Macintosh HD:Users:sergialonso:Documents:Article pages:Malmarket:9_Alonso_et_al-2017-Health_Economics.pdf"/>
                    <pic:cNvPicPr>
                      <a:picLocks noChangeAspect="1" noChangeArrowheads="1"/>
                    </pic:cNvPicPr>
                  </pic:nvPicPr>
                  <pic:blipFill>
                    <a:blip r:embed="rId49"/>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3" name="Imagen 33" descr="Macintosh HD:Users:sergialonso:Documents:Article pages:Malmarket:910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3" descr="Macintosh HD:Users:sergialonso:Documents:Article pages:Malmarket:910_Alonso_et_al-2017-Health_Economics.pdf"/>
                    <pic:cNvPicPr>
                      <a:picLocks noChangeAspect="1" noChangeArrowheads="1"/>
                    </pic:cNvPicPr>
                  </pic:nvPicPr>
                  <pic:blipFill>
                    <a:blip r:embed="rId50"/>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4" name="Imagen 45" descr="Macintosh HD:Users:sergialonso:Documents:Article pages:Malmarket:911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Macintosh HD:Users:sergialonso:Documents:Article pages:Malmarket:911_Alonso_et_al-2017-Health_Economics.pdf"/>
                    <pic:cNvPicPr>
                      <a:picLocks noChangeAspect="1" noChangeArrowheads="1"/>
                    </pic:cNvPicPr>
                  </pic:nvPicPr>
                  <pic:blipFill>
                    <a:blip r:embed="rId51"/>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5" name="Imagen 46" descr="Macintosh HD:Users:sergialonso:Documents:Article pages:Malmarket:912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Macintosh HD:Users:sergialonso:Documents:Article pages:Malmarket:912_Alonso_et_al-2017-Health_Economics.pdf"/>
                    <pic:cNvPicPr>
                      <a:picLocks noChangeAspect="1" noChangeArrowheads="1"/>
                    </pic:cNvPicPr>
                  </pic:nvPicPr>
                  <pic:blipFill>
                    <a:blip r:embed="rId52"/>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6" name="Imagen 47" descr="Macintosh HD:Users:sergialonso:Documents:Article pages:Malmarket:913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Macintosh HD:Users:sergialonso:Documents:Article pages:Malmarket:913_Alonso_et_al-2017-Health_Economics.pdf"/>
                    <pic:cNvPicPr>
                      <a:picLocks noChangeAspect="1" noChangeArrowheads="1"/>
                    </pic:cNvPicPr>
                  </pic:nvPicPr>
                  <pic:blipFill>
                    <a:blip r:embed="rId53"/>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7" name="Imagen 48" descr="Macintosh HD:Users:sergialonso:Documents:Article pages:Malmarket:914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Macintosh HD:Users:sergialonso:Documents:Article pages:Malmarket:914_Alonso_et_al-2017-Health_Economics.pdf"/>
                    <pic:cNvPicPr>
                      <a:picLocks noChangeAspect="1" noChangeArrowheads="1"/>
                    </pic:cNvPicPr>
                  </pic:nvPicPr>
                  <pic:blipFill>
                    <a:blip r:embed="rId54"/>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8" name="Imagen 49" descr="Macintosh HD:Users:sergialonso:Documents:Article pages:Malmarket:915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Macintosh HD:Users:sergialonso:Documents:Article pages:Malmarket:915_Alonso_et_al-2017-Health_Economics.pdf"/>
                    <pic:cNvPicPr>
                      <a:picLocks noChangeAspect="1" noChangeArrowheads="1"/>
                    </pic:cNvPicPr>
                  </pic:nvPicPr>
                  <pic:blipFill>
                    <a:blip r:embed="rId55"/>
                    <a:stretch>
                      <a:fillRect/>
                    </a:stretch>
                  </pic:blipFill>
                  <pic:spPr bwMode="auto">
                    <a:xfrm>
                      <a:off x="0" y="0"/>
                      <a:ext cx="5753100" cy="8153400"/>
                    </a:xfrm>
                    <a:prstGeom prst="rect">
                      <a:avLst/>
                    </a:prstGeom>
                  </pic:spPr>
                </pic:pic>
              </a:graphicData>
            </a:graphic>
          </wp:inline>
        </w:drawing>
      </w:r>
      <w:r>
        <w:rPr/>
        <w:drawing>
          <wp:inline distT="0" distB="0" distL="0" distR="0">
            <wp:extent cx="5753100" cy="8153400"/>
            <wp:effectExtent l="0" t="0" r="0" b="0"/>
            <wp:docPr id="49" name="Imagen 50" descr="Macintosh HD:Users:sergialonso:Documents:Article pages:Malmarket:916_Alonso_et_al-2017-Health_Econom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Macintosh HD:Users:sergialonso:Documents:Article pages:Malmarket:916_Alonso_et_al-2017-Health_Economics.pdf"/>
                    <pic:cNvPicPr>
                      <a:picLocks noChangeAspect="1" noChangeArrowheads="1"/>
                    </pic:cNvPicPr>
                  </pic:nvPicPr>
                  <pic:blipFill>
                    <a:blip r:embed="rId56"/>
                    <a:stretch>
                      <a:fillRect/>
                    </a:stretch>
                  </pic:blipFill>
                  <pic:spPr bwMode="auto">
                    <a:xfrm>
                      <a:off x="0" y="0"/>
                      <a:ext cx="5753100" cy="8153400"/>
                    </a:xfrm>
                    <a:prstGeom prst="rect">
                      <a:avLst/>
                    </a:prstGeom>
                  </pic:spPr>
                </pic:pic>
              </a:graphicData>
            </a:graphic>
          </wp:inline>
        </w:drawing>
      </w:r>
      <w:r>
        <w:br w:type="page"/>
      </w:r>
    </w:p>
    <w:p>
      <w:pPr>
        <w:pStyle w:val="Normal"/>
        <w:rPr>
          <w:sz w:val="20"/>
          <w:szCs w:val="20"/>
          <w:lang w:val="en-GB" w:eastAsia="en-GB"/>
        </w:rPr>
      </w:pPr>
      <w:r>
        <w:rPr>
          <w:b/>
          <w:sz w:val="20"/>
          <w:szCs w:val="20"/>
          <w:lang w:val="en-GB" w:eastAsia="en-GB"/>
        </w:rPr>
        <w:t>Supplementary table 1</w:t>
      </w:r>
      <w:r>
        <w:rPr>
          <w:sz w:val="20"/>
          <w:szCs w:val="20"/>
          <w:lang w:val="en-GB" w:eastAsia="en-GB"/>
        </w:rPr>
        <w:t xml:space="preserve"> Availability of antimalarial drugs in the public and private sector of Manhiça district</w:t>
      </w:r>
    </w:p>
    <w:tbl>
      <w:tblPr>
        <w:tblW w:w="7938" w:type="dxa"/>
        <w:jc w:val="left"/>
        <w:tblInd w:w="109" w:type="dxa"/>
        <w:tblBorders/>
        <w:tblCellMar>
          <w:top w:w="0" w:type="dxa"/>
          <w:left w:w="108" w:type="dxa"/>
          <w:bottom w:w="0" w:type="dxa"/>
          <w:right w:w="108" w:type="dxa"/>
        </w:tblCellMar>
        <w:tblLook w:val="0000" w:noVBand="0" w:noHBand="0" w:lastColumn="0" w:firstColumn="0" w:lastRow="0" w:firstRow="0"/>
      </w:tblPr>
      <w:tblGrid>
        <w:gridCol w:w="3544"/>
        <w:gridCol w:w="1276"/>
        <w:gridCol w:w="1417"/>
        <w:gridCol w:w="141"/>
        <w:gridCol w:w="1559"/>
      </w:tblGrid>
      <w:tr>
        <w:trPr/>
        <w:tc>
          <w:tcPr>
            <w:tcW w:w="3544" w:type="dxa"/>
            <w:tcBorders/>
            <w:shd w:color="auto" w:fill="auto" w:val="clear"/>
          </w:tcPr>
          <w:p>
            <w:pPr>
              <w:pStyle w:val="Normal"/>
              <w:rPr>
                <w:b/>
                <w:b/>
                <w:sz w:val="20"/>
                <w:szCs w:val="20"/>
                <w:lang w:val="en-GB"/>
              </w:rPr>
            </w:pPr>
            <w:r>
              <w:rPr>
                <w:b/>
                <w:sz w:val="20"/>
                <w:szCs w:val="20"/>
                <w:lang w:val="en-GB"/>
              </w:rPr>
            </w:r>
          </w:p>
        </w:tc>
        <w:tc>
          <w:tcPr>
            <w:tcW w:w="1276" w:type="dxa"/>
            <w:tcBorders/>
            <w:shd w:color="auto" w:fill="auto" w:val="clear"/>
          </w:tcPr>
          <w:p>
            <w:pPr>
              <w:pStyle w:val="Normal"/>
              <w:rPr>
                <w:b/>
                <w:b/>
                <w:bCs/>
                <w:sz w:val="20"/>
                <w:szCs w:val="20"/>
                <w:lang w:val="en-GB"/>
              </w:rPr>
            </w:pPr>
            <w:r>
              <w:rPr>
                <w:b/>
                <w:bCs/>
                <w:sz w:val="20"/>
                <w:szCs w:val="20"/>
                <w:lang w:val="en-GB"/>
              </w:rPr>
            </w:r>
          </w:p>
        </w:tc>
        <w:tc>
          <w:tcPr>
            <w:tcW w:w="3117" w:type="dxa"/>
            <w:gridSpan w:val="3"/>
            <w:tcBorders/>
            <w:shd w:color="auto" w:fill="auto" w:val="clear"/>
          </w:tcPr>
          <w:p>
            <w:pPr>
              <w:pStyle w:val="Normal"/>
              <w:jc w:val="center"/>
              <w:rPr>
                <w:b/>
                <w:b/>
                <w:bCs/>
                <w:sz w:val="20"/>
                <w:szCs w:val="20"/>
                <w:lang w:val="en-GB"/>
              </w:rPr>
            </w:pPr>
            <w:r>
              <w:rPr>
                <w:b/>
                <w:bCs/>
                <w:sz w:val="20"/>
                <w:szCs w:val="20"/>
                <w:lang w:val="en-GB"/>
              </w:rPr>
              <w:t>Private</w:t>
            </w:r>
          </w:p>
        </w:tc>
      </w:tr>
      <w:tr>
        <w:trPr/>
        <w:tc>
          <w:tcPr>
            <w:tcW w:w="3544" w:type="dxa"/>
            <w:tcBorders>
              <w:top w:val="single" w:sz="4" w:space="0" w:color="00000A"/>
              <w:bottom w:val="single" w:sz="4" w:space="0" w:color="00000A"/>
              <w:insideH w:val="single" w:sz="4" w:space="0" w:color="00000A"/>
            </w:tcBorders>
            <w:shd w:color="auto" w:fill="auto" w:val="clear"/>
          </w:tcPr>
          <w:p>
            <w:pPr>
              <w:pStyle w:val="Normal"/>
              <w:keepNext/>
              <w:keepLines/>
              <w:numPr>
                <w:ilvl w:val="0"/>
                <w:numId w:val="0"/>
              </w:numPr>
              <w:spacing w:before="200" w:after="0"/>
              <w:outlineLvl w:val="4"/>
              <w:rPr>
                <w:b/>
                <w:b/>
                <w:sz w:val="20"/>
                <w:szCs w:val="20"/>
                <w:lang w:val="en-GB"/>
              </w:rPr>
            </w:pPr>
            <w:r>
              <w:rPr>
                <w:b/>
                <w:sz w:val="20"/>
                <w:szCs w:val="20"/>
                <w:lang w:val="en-GB"/>
              </w:rPr>
              <w:t>Antimalarial drug</w:t>
            </w:r>
          </w:p>
        </w:tc>
        <w:tc>
          <w:tcPr>
            <w:tcW w:w="1276"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Public </w:t>
            </w:r>
            <w:r>
              <w:rPr>
                <w:i/>
                <w:iCs/>
                <w:sz w:val="20"/>
                <w:szCs w:val="20"/>
                <w:lang w:val="en-GB"/>
              </w:rPr>
              <w:t>(n=17)</w:t>
            </w:r>
          </w:p>
        </w:tc>
        <w:tc>
          <w:tcPr>
            <w:tcW w:w="1558" w:type="dxa"/>
            <w:gridSpan w:val="2"/>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Formal </w:t>
            </w:r>
            <w:r>
              <w:rPr>
                <w:i/>
                <w:iCs/>
                <w:sz w:val="20"/>
                <w:szCs w:val="20"/>
                <w:lang w:val="en-GB"/>
              </w:rPr>
              <w:t>(n=4)</w:t>
            </w:r>
          </w:p>
        </w:tc>
        <w:tc>
          <w:tcPr>
            <w:tcW w:w="1559" w:type="dxa"/>
            <w:tcBorders>
              <w:top w:val="single" w:sz="4" w:space="0" w:color="00000A"/>
              <w:bottom w:val="single" w:sz="4" w:space="0" w:color="00000A"/>
              <w:insideH w:val="single" w:sz="4" w:space="0" w:color="00000A"/>
            </w:tcBorders>
            <w:shd w:color="auto" w:fill="auto" w:val="clear"/>
          </w:tcPr>
          <w:p>
            <w:pPr>
              <w:pStyle w:val="Normal"/>
              <w:jc w:val="center"/>
              <w:rPr>
                <w:i/>
                <w:i/>
                <w:iCs/>
                <w:sz w:val="20"/>
                <w:szCs w:val="20"/>
                <w:lang w:val="en-GB"/>
              </w:rPr>
            </w:pPr>
            <w:r>
              <w:rPr>
                <w:b/>
                <w:bCs/>
                <w:sz w:val="20"/>
                <w:szCs w:val="20"/>
                <w:lang w:val="en-GB"/>
              </w:rPr>
              <w:t xml:space="preserve">Informal </w:t>
            </w:r>
            <w:r>
              <w:rPr>
                <w:i/>
                <w:iCs/>
                <w:sz w:val="20"/>
                <w:szCs w:val="20"/>
                <w:lang w:val="en-GB"/>
              </w:rPr>
              <w:t>(n=8)</w:t>
            </w:r>
          </w:p>
        </w:tc>
      </w:tr>
      <w:tr>
        <w:trPr/>
        <w:tc>
          <w:tcPr>
            <w:tcW w:w="3544" w:type="dxa"/>
            <w:tcBorders>
              <w:top w:val="single" w:sz="4" w:space="0" w:color="00000A"/>
            </w:tcBorders>
            <w:shd w:color="auto" w:fill="auto" w:val="clear"/>
          </w:tcPr>
          <w:p>
            <w:pPr>
              <w:pStyle w:val="Normal"/>
              <w:rPr>
                <w:bCs/>
                <w:sz w:val="20"/>
                <w:szCs w:val="20"/>
                <w:lang w:val="en-GB"/>
              </w:rPr>
            </w:pPr>
            <w:r>
              <w:rPr>
                <w:bCs/>
                <w:sz w:val="20"/>
                <w:szCs w:val="20"/>
                <w:lang w:val="en-GB"/>
              </w:rPr>
              <w:t>Artemether-Lumefantrine</w:t>
            </w:r>
          </w:p>
        </w:tc>
        <w:tc>
          <w:tcPr>
            <w:tcW w:w="1276"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16 (94.12%)</w:t>
            </w:r>
          </w:p>
        </w:tc>
        <w:tc>
          <w:tcPr>
            <w:tcW w:w="1417" w:type="dxa"/>
            <w:tcBorders>
              <w:top w:val="single" w:sz="4" w:space="0" w:color="00000A"/>
            </w:tcBorders>
            <w:shd w:color="auto" w:fill="auto" w:val="clear"/>
            <w:vAlign w:val="center"/>
          </w:tcPr>
          <w:p>
            <w:pPr>
              <w:pStyle w:val="Normal"/>
              <w:jc w:val="right"/>
              <w:rPr>
                <w:sz w:val="20"/>
                <w:szCs w:val="20"/>
                <w:lang w:val="en-GB"/>
              </w:rPr>
            </w:pPr>
            <w:r>
              <w:rPr>
                <w:sz w:val="20"/>
                <w:szCs w:val="20"/>
                <w:lang w:val="en-GB"/>
              </w:rPr>
              <w:t>3 (75%)</w:t>
            </w:r>
          </w:p>
        </w:tc>
        <w:tc>
          <w:tcPr>
            <w:tcW w:w="1700" w:type="dxa"/>
            <w:gridSpan w:val="2"/>
            <w:tcBorders>
              <w:top w:val="single" w:sz="4" w:space="0" w:color="00000A"/>
            </w:tcBorders>
            <w:shd w:color="auto" w:fill="auto" w:val="clear"/>
            <w:vAlign w:val="center"/>
          </w:tcPr>
          <w:p>
            <w:pPr>
              <w:pStyle w:val="Normal"/>
              <w:jc w:val="right"/>
              <w:rPr>
                <w:sz w:val="20"/>
                <w:szCs w:val="20"/>
                <w:lang w:val="en-GB"/>
              </w:rPr>
            </w:pPr>
            <w:r>
              <w:rPr>
                <w:sz w:val="20"/>
                <w:szCs w:val="20"/>
                <w:lang w:val="en-GB"/>
              </w:rPr>
              <w:t>4 (50%)</w:t>
            </w:r>
          </w:p>
        </w:tc>
      </w:tr>
      <w:tr>
        <w:trPr/>
        <w:tc>
          <w:tcPr>
            <w:tcW w:w="3544" w:type="dxa"/>
            <w:tcBorders/>
            <w:shd w:color="auto" w:fill="auto" w:val="clear"/>
          </w:tcPr>
          <w:p>
            <w:pPr>
              <w:pStyle w:val="Normal"/>
              <w:rPr>
                <w:bCs/>
                <w:sz w:val="20"/>
                <w:szCs w:val="20"/>
                <w:lang w:val="en-GB"/>
              </w:rPr>
            </w:pPr>
            <w:r>
              <w:rPr>
                <w:bCs/>
                <w:sz w:val="20"/>
                <w:szCs w:val="20"/>
                <w:lang w:val="en-GB"/>
              </w:rPr>
              <w:t>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2 (50%)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1 (12.5%)</w:t>
            </w:r>
          </w:p>
        </w:tc>
      </w:tr>
      <w:tr>
        <w:trPr/>
        <w:tc>
          <w:tcPr>
            <w:tcW w:w="3544" w:type="dxa"/>
            <w:tcBorders/>
            <w:shd w:color="auto" w:fill="auto" w:val="clear"/>
          </w:tcPr>
          <w:p>
            <w:pPr>
              <w:pStyle w:val="Normal"/>
              <w:rPr>
                <w:bCs/>
                <w:sz w:val="20"/>
                <w:szCs w:val="20"/>
                <w:lang w:val="en-GB"/>
              </w:rPr>
            </w:pPr>
            <w:r>
              <w:rPr>
                <w:bCs/>
                <w:sz w:val="20"/>
                <w:szCs w:val="20"/>
                <w:lang w:val="en-GB"/>
              </w:rPr>
              <w:t>Artesunate-Amodiaquine</w:t>
            </w:r>
          </w:p>
        </w:tc>
        <w:tc>
          <w:tcPr>
            <w:tcW w:w="1276" w:type="dxa"/>
            <w:tcBorders/>
            <w:shd w:color="auto" w:fill="auto" w:val="clear"/>
            <w:vAlign w:val="center"/>
          </w:tcPr>
          <w:p>
            <w:pPr>
              <w:pStyle w:val="Normal"/>
              <w:jc w:val="right"/>
              <w:rPr>
                <w:sz w:val="20"/>
                <w:szCs w:val="20"/>
                <w:lang w:val="en-GB"/>
              </w:rPr>
            </w:pPr>
            <w:r>
              <w:rPr>
                <w:sz w:val="20"/>
                <w:szCs w:val="20"/>
                <w:lang w:val="en-GB"/>
              </w:rPr>
              <w:t>4 (23.5%)</w:t>
            </w:r>
          </w:p>
        </w:tc>
        <w:tc>
          <w:tcPr>
            <w:tcW w:w="1417" w:type="dxa"/>
            <w:tcBorders/>
            <w:shd w:color="auto" w:fill="auto" w:val="clear"/>
            <w:vAlign w:val="center"/>
          </w:tcPr>
          <w:p>
            <w:pPr>
              <w:pStyle w:val="Normal"/>
              <w:jc w:val="right"/>
              <w:rPr>
                <w:sz w:val="20"/>
                <w:szCs w:val="20"/>
                <w:lang w:val="en-GB"/>
              </w:rPr>
            </w:pPr>
            <w:r>
              <w:rPr>
                <w:sz w:val="20"/>
                <w:szCs w:val="20"/>
                <w:lang w:val="en-GB"/>
              </w:rPr>
              <w:t>0 (0%)</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2 (25%)</w:t>
            </w:r>
          </w:p>
        </w:tc>
      </w:tr>
      <w:tr>
        <w:trPr/>
        <w:tc>
          <w:tcPr>
            <w:tcW w:w="3544" w:type="dxa"/>
            <w:tcBorders/>
            <w:shd w:color="auto" w:fill="auto" w:val="clear"/>
          </w:tcPr>
          <w:p>
            <w:pPr>
              <w:pStyle w:val="Normal"/>
              <w:rPr>
                <w:bCs/>
                <w:sz w:val="20"/>
                <w:szCs w:val="20"/>
                <w:lang w:val="en-GB"/>
              </w:rPr>
            </w:pPr>
            <w:r>
              <w:rPr>
                <w:bCs/>
                <w:sz w:val="20"/>
                <w:szCs w:val="20"/>
                <w:lang w:val="en-GB"/>
              </w:rPr>
              <w:t>Artesunate-Sulphadoxine-Pyrimethamine</w:t>
            </w:r>
          </w:p>
        </w:tc>
        <w:tc>
          <w:tcPr>
            <w:tcW w:w="1276" w:type="dxa"/>
            <w:tcBorders/>
            <w:shd w:color="auto" w:fill="auto" w:val="clear"/>
            <w:vAlign w:val="center"/>
          </w:tcPr>
          <w:p>
            <w:pPr>
              <w:pStyle w:val="Normal"/>
              <w:jc w:val="right"/>
              <w:rPr>
                <w:sz w:val="20"/>
                <w:szCs w:val="20"/>
                <w:lang w:val="en-GB"/>
              </w:rPr>
            </w:pPr>
            <w:r>
              <w:rPr>
                <w:sz w:val="20"/>
                <w:szCs w:val="20"/>
                <w:lang w:val="en-GB"/>
              </w:rPr>
              <w:t>1 (5.88%)</w:t>
            </w:r>
          </w:p>
        </w:tc>
        <w:tc>
          <w:tcPr>
            <w:tcW w:w="1417" w:type="dx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shd w:color="auto" w:fill="auto" w:val="clear"/>
            <w:vAlign w:val="center"/>
          </w:tcPr>
          <w:p>
            <w:pPr>
              <w:pStyle w:val="Normal"/>
              <w:jc w:val="right"/>
              <w:rPr>
                <w:sz w:val="20"/>
                <w:szCs w:val="20"/>
                <w:lang w:val="en-GB"/>
              </w:rPr>
            </w:pPr>
            <w:r>
              <w:rPr>
                <w:sz w:val="20"/>
                <w:szCs w:val="20"/>
                <w:lang w:val="en-GB"/>
              </w:rPr>
              <w:t>4 (50%)</w:t>
            </w:r>
          </w:p>
        </w:tc>
      </w:tr>
      <w:tr>
        <w:trPr>
          <w:trHeight w:val="67" w:hRule="atLeast"/>
        </w:trPr>
        <w:tc>
          <w:tcPr>
            <w:tcW w:w="3544" w:type="dxa"/>
            <w:tcBorders>
              <w:top w:val="single" w:sz="4" w:space="0" w:color="00000A"/>
              <w:bottom w:val="single" w:sz="4" w:space="0" w:color="00000A"/>
              <w:insideH w:val="single" w:sz="4" w:space="0" w:color="00000A"/>
            </w:tcBorders>
            <w:shd w:color="auto" w:fill="auto" w:val="clear"/>
          </w:tcPr>
          <w:p>
            <w:pPr>
              <w:pStyle w:val="Normal"/>
              <w:rPr>
                <w:bCs/>
                <w:sz w:val="20"/>
                <w:szCs w:val="20"/>
                <w:lang w:val="en-GB"/>
              </w:rPr>
            </w:pPr>
            <w:r>
              <w:rPr>
                <w:bCs/>
                <w:sz w:val="20"/>
                <w:szCs w:val="20"/>
                <w:lang w:val="en-GB"/>
              </w:rPr>
              <w:t>Quinine</w:t>
            </w:r>
          </w:p>
        </w:tc>
        <w:tc>
          <w:tcPr>
            <w:tcW w:w="1276"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6 (35.29%)</w:t>
            </w:r>
          </w:p>
        </w:tc>
        <w:tc>
          <w:tcPr>
            <w:tcW w:w="1417" w:type="dxa"/>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1 (25%)</w:t>
            </w:r>
          </w:p>
        </w:tc>
        <w:tc>
          <w:tcPr>
            <w:tcW w:w="1700" w:type="dxa"/>
            <w:gridSpan w:val="2"/>
            <w:tcBorders>
              <w:top w:val="single" w:sz="4" w:space="0" w:color="00000A"/>
              <w:bottom w:val="single" w:sz="4" w:space="0" w:color="00000A"/>
              <w:insideH w:val="single" w:sz="4" w:space="0" w:color="00000A"/>
            </w:tcBorders>
            <w:shd w:color="auto" w:fill="auto" w:val="clear"/>
            <w:vAlign w:val="center"/>
          </w:tcPr>
          <w:p>
            <w:pPr>
              <w:pStyle w:val="Normal"/>
              <w:jc w:val="right"/>
              <w:rPr>
                <w:sz w:val="20"/>
                <w:szCs w:val="20"/>
                <w:lang w:val="en-GB"/>
              </w:rPr>
            </w:pPr>
            <w:r>
              <w:rPr>
                <w:sz w:val="20"/>
                <w:szCs w:val="20"/>
                <w:lang w:val="en-GB"/>
              </w:rPr>
              <w:t>0 (0%)</w:t>
            </w:r>
          </w:p>
        </w:tc>
      </w:tr>
    </w:tbl>
    <w:p>
      <w:pPr>
        <w:pStyle w:val="Normal"/>
        <w:rPr>
          <w:i/>
          <w:i/>
          <w:sz w:val="20"/>
          <w:szCs w:val="20"/>
          <w:lang w:val="en-GB" w:eastAsia="en-GB"/>
        </w:rPr>
      </w:pPr>
      <w:r>
        <w:rPr>
          <w:i/>
          <w:sz w:val="20"/>
          <w:szCs w:val="20"/>
          <w:u w:val="single"/>
          <w:lang w:val="en-GB" w:eastAsia="en-GB"/>
        </w:rPr>
        <w:t>Note</w:t>
      </w:r>
      <w:r>
        <w:rPr>
          <w:i/>
          <w:sz w:val="20"/>
          <w:szCs w:val="20"/>
          <w:lang w:val="en-GB" w:eastAsia="en-GB"/>
        </w:rPr>
        <w:t xml:space="preserve">: The table refers to the availability of at least one type of package/presentation for each antimalarial. The table shows the number of public and private (both formal and informal) outlets storing each type of antimalarial in the district; % in parenthesis are determined by the number of public, formal or informal storing each type of antimalarial out of the total number of public, formal and informal outlets. </w:t>
      </w:r>
    </w:p>
    <w:p>
      <w:pPr>
        <w:pStyle w:val="Normal"/>
        <w:rPr>
          <w:b/>
          <w:b/>
          <w:sz w:val="20"/>
          <w:szCs w:val="20"/>
          <w:lang w:val="en-GB" w:eastAsia="en-GB"/>
        </w:rPr>
      </w:pPr>
      <w:r>
        <w:rPr>
          <w:b/>
          <w:sz w:val="20"/>
          <w:szCs w:val="20"/>
          <w:lang w:val="en-GB" w:eastAsia="en-GB"/>
        </w:rPr>
      </w:r>
      <w:r>
        <w:br w:type="page"/>
      </w:r>
    </w:p>
    <w:p>
      <w:pPr>
        <w:pStyle w:val="Normal"/>
        <w:rPr>
          <w:sz w:val="20"/>
          <w:szCs w:val="20"/>
          <w:lang w:val="en-GB" w:eastAsia="en-GB"/>
        </w:rPr>
      </w:pPr>
      <w:r>
        <w:rPr>
          <w:b/>
          <w:sz w:val="20"/>
          <w:szCs w:val="20"/>
          <w:lang w:val="en-GB" w:eastAsia="en-GB"/>
        </w:rPr>
        <w:t xml:space="preserve">Supplementary Table 2 </w:t>
      </w:r>
      <w:r>
        <w:rPr>
          <w:sz w:val="20"/>
          <w:szCs w:val="20"/>
          <w:lang w:val="en-GB" w:eastAsia="en-GB"/>
        </w:rPr>
        <w:t>Retailers’ individual and Aggregate Supply for ACTs in Manhiça district</w:t>
      </w:r>
    </w:p>
    <w:tbl>
      <w:tblPr>
        <w:tblStyle w:val="Sombreadoclaro"/>
        <w:tblW w:w="8045" w:type="dxa"/>
        <w:jc w:val="left"/>
        <w:tblInd w:w="0" w:type="dxa"/>
        <w:tblCellMar>
          <w:top w:w="0" w:type="dxa"/>
          <w:left w:w="108" w:type="dxa"/>
          <w:bottom w:w="0" w:type="dxa"/>
          <w:right w:w="108" w:type="dxa"/>
        </w:tblCellMar>
        <w:tblLook w:val="04a0" w:noVBand="1" w:noHBand="0" w:lastColumn="0" w:firstColumn="1" w:lastRow="0" w:firstRow="1"/>
      </w:tblPr>
      <w:tblGrid>
        <w:gridCol w:w="674"/>
        <w:gridCol w:w="568"/>
        <w:gridCol w:w="567"/>
        <w:gridCol w:w="567"/>
        <w:gridCol w:w="567"/>
        <w:gridCol w:w="567"/>
        <w:gridCol w:w="568"/>
        <w:gridCol w:w="567"/>
        <w:gridCol w:w="568"/>
        <w:gridCol w:w="567"/>
        <w:gridCol w:w="567"/>
        <w:gridCol w:w="567"/>
        <w:gridCol w:w="1130"/>
      </w:tblGrid>
      <w:tr>
        <w:trPr>
          <w:cnfStyle w:val="100000000000" w:firstRow="1" w:lastRow="0" w:firstColumn="0" w:lastColumn="0" w:oddVBand="0" w:evenVBand="0" w:oddHBand="0"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single" w:sz="12" w:space="0" w:color="000001"/>
            </w:tcBorders>
            <w:shd w:fill="auto" w:val="clear"/>
            <w:vAlign w:val="bottom"/>
          </w:tcPr>
          <w:p>
            <w:pPr>
              <w:pStyle w:val="Normal"/>
              <w:spacing w:lineRule="auto" w:line="240" w:before="0" w:after="0"/>
              <w:rPr>
                <w:szCs w:val="20"/>
              </w:rPr>
            </w:pPr>
            <w:r>
              <w:rPr>
                <w:b/>
                <w:bCs/>
                <w:color w:val="000000" w:themeColor="text1" w:themeShade="bf"/>
                <w:sz w:val="20"/>
                <w:szCs w:val="20"/>
                <w:lang w:val="en-GB" w:eastAsia="en-GB"/>
              </w:rPr>
              <w:t>Price</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S2</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S3</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S4</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S5</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S6</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S7</w:t>
            </w:r>
          </w:p>
        </w:tc>
        <w:tc>
          <w:tcPr>
            <w:tcW w:w="568"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S8</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S9</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S10</w:t>
            </w:r>
          </w:p>
        </w:tc>
        <w:tc>
          <w:tcPr>
            <w:tcW w:w="567"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S11</w:t>
            </w:r>
          </w:p>
        </w:tc>
        <w:tc>
          <w:tcPr>
            <w:tcW w:w="1130" w:type="dxa"/>
            <w:tcBorders>
              <w:top w:val="single" w:sz="12" w:space="0" w:color="000001"/>
            </w:tcBorders>
            <w:shd w:fill="auto" w:val="clear"/>
            <w:vAlign w:val="bottom"/>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szCs w:val="20"/>
              </w:rPr>
            </w:pPr>
            <w:r>
              <w:rPr>
                <w:b/>
                <w:bCs/>
                <w:color w:val="000000" w:themeColor="text1" w:themeShade="bf"/>
                <w:sz w:val="20"/>
                <w:szCs w:val="20"/>
                <w:lang w:val="en-GB" w:eastAsia="en-GB"/>
              </w:rPr>
              <w:t>Ag. Supply</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0.00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0.56</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0.83</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1.11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1.39</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7</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1.67</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10</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2.22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14</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rPr>
                <w:szCs w:val="20"/>
              </w:rPr>
            </w:pPr>
            <w:r>
              <w:rPr>
                <w:b/>
                <w:bCs/>
                <w:color w:val="000000" w:themeColor="text1" w:themeShade="bf"/>
                <w:sz w:val="20"/>
                <w:szCs w:val="20"/>
                <w:lang w:val="en-GB" w:eastAsia="en-GB"/>
              </w:rPr>
              <w:t>2.78</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567"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19</w:t>
            </w:r>
          </w:p>
        </w:tc>
      </w:tr>
      <w:tr>
        <w:trPr>
          <w:cnfStyle w:val="000000100000" w:firstRow="0" w:lastRow="0" w:firstColumn="0" w:lastColumn="0" w:oddVBand="0" w:evenVBand="0" w:oddHBand="1" w:evenHBand="0" w:firstRowFirstColumn="0" w:firstRowLastColumn="0" w:lastRowFirstColumn="0" w:lastRowLastColumn="0"/>
        </w:trPr>
        <w:tc>
          <w:tcPr>
            <w:tcW w:w="67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auto" w:val="clear"/>
          </w:tcPr>
          <w:p>
            <w:pPr>
              <w:pStyle w:val="Normal"/>
              <w:rPr>
                <w:szCs w:val="20"/>
              </w:rPr>
            </w:pPr>
            <w:r>
              <w:rPr>
                <w:b/>
                <w:bCs/>
                <w:color w:val="000000" w:themeColor="text1" w:themeShade="bf"/>
                <w:sz w:val="20"/>
                <w:szCs w:val="20"/>
                <w:lang w:val="en-GB" w:eastAsia="en-GB"/>
              </w:rPr>
              <w:t>3.06</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8"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0</w:t>
            </w:r>
          </w:p>
        </w:tc>
        <w:tc>
          <w:tcPr>
            <w:tcW w:w="1130" w:type="dxa"/>
            <w:tcBorders>
              <w:top w:val="nil"/>
              <w:bottom w:val="nil"/>
              <w:insideH w:val="nil"/>
            </w:tcBorders>
            <w:shd w:color="auto" w:fill="auto" w:val="clear"/>
          </w:tcPr>
          <w:p>
            <w:pPr>
              <w:pStyle w:val="Normal"/>
              <w:cnfStyle w:val="000000100000" w:firstRow="0" w:lastRow="0" w:firstColumn="0" w:lastColumn="0" w:oddVBand="0" w:evenVBand="0" w:oddHBand="1" w:evenHBand="0" w:firstRowFirstColumn="0" w:firstRowLastColumn="0" w:lastRowFirstColumn="0" w:lastRowLastColumn="0"/>
              <w:rPr>
                <w:szCs w:val="20"/>
              </w:rPr>
            </w:pPr>
            <w:r>
              <w:rPr>
                <w:color w:val="000000" w:themeColor="text1" w:themeShade="bf"/>
                <w:sz w:val="20"/>
                <w:szCs w:val="20"/>
                <w:lang w:val="en-GB" w:eastAsia="en-GB"/>
              </w:rPr>
              <w:t>22</w:t>
            </w:r>
          </w:p>
        </w:tc>
      </w:tr>
      <w:tr>
        <w:trPr/>
        <w:tc>
          <w:tcPr>
            <w:tcW w:w="674" w:type="dxa"/>
            <w:cnfStyle w:val="001000000000" w:firstRow="0" w:lastRow="0" w:firstColumn="1" w:lastColumn="0" w:oddVBand="0" w:evenVBand="0" w:oddHBand="0" w:evenHBand="0" w:firstRowFirstColumn="0" w:firstRowLastColumn="0" w:lastRowFirstColumn="0" w:lastRowLastColumn="0"/>
            <w:tcBorders>
              <w:top w:val="nil"/>
              <w:bottom w:val="single" w:sz="12" w:space="0" w:color="000001"/>
              <w:insideH w:val="single" w:sz="12" w:space="0" w:color="000001"/>
            </w:tcBorders>
            <w:shd w:fill="auto" w:val="clear"/>
          </w:tcPr>
          <w:p>
            <w:pPr>
              <w:pStyle w:val="Normal"/>
              <w:rPr>
                <w:szCs w:val="20"/>
              </w:rPr>
            </w:pPr>
            <w:r>
              <w:rPr>
                <w:b/>
                <w:bCs/>
                <w:color w:val="000000" w:themeColor="text1" w:themeShade="bf"/>
                <w:sz w:val="20"/>
                <w:szCs w:val="20"/>
                <w:lang w:val="en-GB" w:eastAsia="en-GB"/>
              </w:rPr>
              <w:t>3.34</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5</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4</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3</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w:t>
            </w:r>
          </w:p>
        </w:tc>
        <w:tc>
          <w:tcPr>
            <w:tcW w:w="568"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567"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1</w:t>
            </w:r>
          </w:p>
        </w:tc>
        <w:tc>
          <w:tcPr>
            <w:tcW w:w="1130" w:type="dxa"/>
            <w:tcBorders>
              <w:top w:val="nil"/>
              <w:bottom w:val="single" w:sz="12" w:space="0" w:color="000001"/>
              <w:insideH w:val="single" w:sz="12" w:space="0" w:color="000001"/>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szCs w:val="20"/>
              </w:rPr>
            </w:pPr>
            <w:r>
              <w:rPr>
                <w:color w:val="000000" w:themeColor="text1" w:themeShade="bf"/>
                <w:sz w:val="20"/>
                <w:szCs w:val="20"/>
                <w:lang w:val="en-GB" w:eastAsia="en-GB"/>
              </w:rPr>
              <w:t>27</w:t>
            </w:r>
          </w:p>
        </w:tc>
      </w:tr>
    </w:tbl>
    <w:p>
      <w:pPr>
        <w:pStyle w:val="Normal"/>
        <w:rPr>
          <w:sz w:val="20"/>
          <w:szCs w:val="20"/>
          <w:lang w:val="en-GB" w:eastAsia="en-GB"/>
        </w:rPr>
      </w:pPr>
      <w:r>
        <w:rPr>
          <w:i/>
          <w:sz w:val="20"/>
          <w:szCs w:val="20"/>
          <w:u w:val="single"/>
          <w:lang w:val="en-GB" w:eastAsia="en-GB"/>
        </w:rPr>
        <w:t>Note</w:t>
      </w:r>
      <w:r>
        <w:rPr>
          <w:sz w:val="20"/>
          <w:szCs w:val="20"/>
          <w:lang w:val="en-GB" w:eastAsia="en-GB"/>
        </w:rPr>
        <w:t>:</w:t>
      </w:r>
      <w:r>
        <w:rPr>
          <w:i/>
          <w:sz w:val="20"/>
          <w:szCs w:val="20"/>
          <w:lang w:val="en-GB" w:eastAsia="en-GB"/>
        </w:rPr>
        <w:t xml:space="preserve"> Retailers’ supply expressed as quantities of ACTs supplied at the mean price of each retailer in the district. Aggregate Supply computed as the horizontal summation of each retailer supply.</w:t>
      </w:r>
    </w:p>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r>
        <w:br w:type="page"/>
      </w:r>
    </w:p>
    <w:p>
      <w:pPr>
        <w:pStyle w:val="Normal"/>
        <w:rPr>
          <w:sz w:val="20"/>
          <w:szCs w:val="20"/>
          <w:lang w:val="en-GB" w:eastAsia="en-GB"/>
        </w:rPr>
      </w:pPr>
      <w:r>
        <w:rPr>
          <w:sz w:val="20"/>
          <w:szCs w:val="20"/>
          <w:lang w:val="en-GB" w:eastAsia="en-GB"/>
        </w:rPr>
      </w:r>
    </w:p>
    <w:tbl>
      <w:tblPr>
        <w:tblStyle w:val="Tablaconcuadrcula"/>
        <w:tblW w:w="8692" w:type="dxa"/>
        <w:jc w:val="left"/>
        <w:tblInd w:w="-176" w:type="dxa"/>
        <w:tblCellMar>
          <w:top w:w="0" w:type="dxa"/>
          <w:left w:w="123" w:type="dxa"/>
          <w:bottom w:w="0" w:type="dxa"/>
          <w:right w:w="108" w:type="dxa"/>
        </w:tblCellMar>
        <w:tblLook w:val="04a0" w:noVBand="1" w:noHBand="0" w:lastColumn="0" w:firstColumn="1" w:lastRow="0" w:firstRow="1"/>
      </w:tblPr>
      <w:tblGrid>
        <w:gridCol w:w="1984"/>
        <w:gridCol w:w="2552"/>
        <w:gridCol w:w="709"/>
        <w:gridCol w:w="1529"/>
        <w:gridCol w:w="449"/>
        <w:gridCol w:w="217"/>
        <w:gridCol w:w="1251"/>
      </w:tblGrid>
      <w:tr>
        <w:trPr/>
        <w:tc>
          <w:tcPr>
            <w:tcW w:w="8691" w:type="dxa"/>
            <w:gridSpan w:val="7"/>
            <w:tcBorders>
              <w:top w:val="nil"/>
              <w:left w:val="nil"/>
              <w:bottom w:val="single" w:sz="12" w:space="0" w:color="000001"/>
              <w:insideH w:val="single" w:sz="12" w:space="0" w:color="000001"/>
            </w:tcBorders>
            <w:shd w:color="auto" w:fill="auto" w:val="clear"/>
          </w:tcPr>
          <w:p>
            <w:pPr>
              <w:pStyle w:val="Normal"/>
              <w:rPr>
                <w:sz w:val="20"/>
                <w:szCs w:val="20"/>
                <w:lang w:val="en-GB"/>
              </w:rPr>
            </w:pPr>
            <w:r>
              <w:rPr>
                <w:b/>
                <w:sz w:val="20"/>
                <w:szCs w:val="20"/>
                <w:lang w:val="en-GB"/>
              </w:rPr>
              <w:t>Supplementary Table 3</w:t>
            </w:r>
            <w:r>
              <w:rPr>
                <w:sz w:val="20"/>
                <w:szCs w:val="20"/>
                <w:lang w:val="en-GB"/>
              </w:rPr>
              <w:t xml:space="preserve"> MCA categories for the wealth index</w:t>
            </w:r>
          </w:p>
        </w:tc>
      </w:tr>
      <w:tr>
        <w:trPr/>
        <w:tc>
          <w:tcPr>
            <w:tcW w:w="1984"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Variable</w:t>
            </w:r>
          </w:p>
        </w:tc>
        <w:tc>
          <w:tcPr>
            <w:tcW w:w="2552"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Categories</w:t>
            </w:r>
          </w:p>
        </w:tc>
        <w:tc>
          <w:tcPr>
            <w:tcW w:w="709" w:type="dxa"/>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Value</w:t>
            </w:r>
          </w:p>
        </w:tc>
        <w:tc>
          <w:tcPr>
            <w:tcW w:w="197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Coordinate (</w:t>
            </w:r>
            <w:r>
              <w:rPr>
                <w:i/>
                <w:sz w:val="20"/>
                <w:szCs w:val="20"/>
                <w:lang w:val="en-GB"/>
              </w:rPr>
              <w:t>Dim 1</w:t>
            </w:r>
            <w:r>
              <w:rPr>
                <w:sz w:val="20"/>
                <w:szCs w:val="20"/>
                <w:lang w:val="en-GB"/>
              </w:rPr>
              <w:t>)</w:t>
            </w:r>
          </w:p>
        </w:tc>
        <w:tc>
          <w:tcPr>
            <w:tcW w:w="1468" w:type="dxa"/>
            <w:gridSpan w:val="2"/>
            <w:tcBorders>
              <w:top w:val="single" w:sz="12" w:space="0" w:color="000001"/>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Contribution</w:t>
            </w:r>
          </w:p>
        </w:tc>
      </w:tr>
      <w:tr>
        <w:trPr/>
        <w:tc>
          <w:tcPr>
            <w:tcW w:w="1984"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Construction type</w:t>
            </w:r>
          </w:p>
        </w:tc>
        <w:tc>
          <w:tcPr>
            <w:tcW w:w="2552"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Overall precarious</w:t>
            </w:r>
          </w:p>
        </w:tc>
        <w:tc>
          <w:tcPr>
            <w:tcW w:w="70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0.913</w:t>
            </w:r>
          </w:p>
        </w:tc>
        <w:tc>
          <w:tcPr>
            <w:tcW w:w="666" w:type="dxa"/>
            <w:gridSpan w:val="2"/>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12"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0.023</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Mix conventional/precarious</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-0.317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Overall conventional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-1.965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Latrine type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None</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0.440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Cistern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-3.791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0.015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Not improved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Improved</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-2.706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Cooking fuel</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Wood</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Gas/electricity/petroleum</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-3.001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 divisions to sleep</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1.281</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0.328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-0.621</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0.006</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-1.177</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 or more</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5</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-1.310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Well</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0.765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0.007</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Hole</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0.809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0.005</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Fountain</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0.252</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Canalization</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-0.545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Water source location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Public</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0.659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Neighbourhood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0.398</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Own backyard</w:t>
            </w:r>
          </w:p>
        </w:tc>
        <w:tc>
          <w:tcPr>
            <w:tcW w:w="70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3</w:t>
            </w:r>
          </w:p>
        </w:tc>
        <w:tc>
          <w:tcPr>
            <w:tcW w:w="1529"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-2.379</w:t>
            </w:r>
          </w:p>
        </w:tc>
        <w:tc>
          <w:tcPr>
            <w:tcW w:w="666" w:type="dxa"/>
            <w:gridSpan w:val="2"/>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0.055</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Own external</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0.771</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Kitchen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0.703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-0.518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Electricity</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1.055</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-1.957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0.075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Phone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1.427</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0.016</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-0.239</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Radio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0.829</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-0.988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0.025</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Video</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1.033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-2.296</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0.091</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Freezer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0.683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0.022</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-3.470</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0.110</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Car</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0.166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0.001</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-3.737</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0.033</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Television</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1.013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0.040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-2.338</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0.092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Stove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0.270</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0.004</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-4.163</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0.059</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Bicycle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0.084</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-0.455</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0.002</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Swine</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0.096</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-1.632</w:t>
            </w:r>
          </w:p>
        </w:tc>
        <w:tc>
          <w:tcPr>
            <w:tcW w:w="666" w:type="dxa"/>
            <w:gridSpan w:val="2"/>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0.008</w:t>
            </w:r>
          </w:p>
        </w:tc>
      </w:tr>
      <w:tr>
        <w:trPr/>
        <w:tc>
          <w:tcPr>
            <w:tcW w:w="198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Bovid</w:t>
            </w:r>
          </w:p>
        </w:tc>
        <w:tc>
          <w:tcPr>
            <w:tcW w:w="2552"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No</w:t>
            </w:r>
          </w:p>
        </w:tc>
        <w:tc>
          <w:tcPr>
            <w:tcW w:w="70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w:t>
            </w:r>
          </w:p>
        </w:tc>
        <w:tc>
          <w:tcPr>
            <w:tcW w:w="1529"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0.063</w:t>
            </w:r>
          </w:p>
        </w:tc>
        <w:tc>
          <w:tcPr>
            <w:tcW w:w="666" w:type="dxa"/>
            <w:gridSpan w:val="2"/>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r>
          </w:p>
        </w:tc>
        <w:tc>
          <w:tcPr>
            <w:tcW w:w="1251"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0.000</w:t>
            </w:r>
          </w:p>
        </w:tc>
      </w:tr>
      <w:tr>
        <w:trPr/>
        <w:tc>
          <w:tcPr>
            <w:tcW w:w="198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2552"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Yes</w:t>
            </w:r>
          </w:p>
        </w:tc>
        <w:tc>
          <w:tcPr>
            <w:tcW w:w="70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1</w:t>
            </w:r>
          </w:p>
        </w:tc>
        <w:tc>
          <w:tcPr>
            <w:tcW w:w="1529"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-0.549</w:t>
            </w:r>
          </w:p>
        </w:tc>
        <w:tc>
          <w:tcPr>
            <w:tcW w:w="666" w:type="dxa"/>
            <w:gridSpan w:val="2"/>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c>
          <w:tcPr>
            <w:tcW w:w="1251"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0.002</w:t>
            </w:r>
          </w:p>
        </w:tc>
      </w:tr>
    </w:tbl>
    <w:p>
      <w:pPr>
        <w:sectPr>
          <w:footerReference w:type="default" r:id="rId57"/>
          <w:type w:val="nextPage"/>
          <w:pgSz w:w="11906" w:h="16838"/>
          <w:pgMar w:left="1418" w:right="1418" w:header="0" w:top="1418" w:footer="708" w:bottom="1418" w:gutter="0"/>
          <w:pgNumType w:fmt="decimal"/>
          <w:formProt w:val="false"/>
          <w:textDirection w:val="lrTb"/>
          <w:docGrid w:type="default" w:linePitch="360" w:charSpace="4294961151"/>
        </w:sectPr>
        <w:pStyle w:val="Normal"/>
        <w:rPr>
          <w:lang w:val="en-GB"/>
        </w:rPr>
      </w:pPr>
      <w:r>
        <w:rPr>
          <w:lang w:val="en-GB"/>
        </w:rPr>
      </w:r>
    </w:p>
    <w:p>
      <w:pPr>
        <w:pStyle w:val="Normal"/>
        <w:rPr>
          <w:sz w:val="20"/>
          <w:szCs w:val="20"/>
          <w:lang w:val="en-GB" w:eastAsia="en-GB"/>
        </w:rPr>
      </w:pPr>
      <w:r>
        <w:rPr>
          <w:sz w:val="20"/>
          <w:szCs w:val="20"/>
          <w:lang w:val="en-GB" w:eastAsia="en-GB"/>
        </w:rPr>
      </w:r>
    </w:p>
    <w:tbl>
      <w:tblPr>
        <w:tblStyle w:val="Tablaconcuadrcula"/>
        <w:tblW w:w="7047" w:type="dxa"/>
        <w:jc w:val="left"/>
        <w:tblInd w:w="250" w:type="dxa"/>
        <w:tblCellMar>
          <w:top w:w="0" w:type="dxa"/>
          <w:left w:w="128" w:type="dxa"/>
          <w:bottom w:w="0" w:type="dxa"/>
          <w:right w:w="108" w:type="dxa"/>
        </w:tblCellMar>
        <w:tblLook w:val="04a0" w:noVBand="1" w:noHBand="0" w:lastColumn="0" w:firstColumn="1" w:lastRow="0" w:firstRow="1"/>
      </w:tblPr>
      <w:tblGrid>
        <w:gridCol w:w="2078"/>
        <w:gridCol w:w="1274"/>
        <w:gridCol w:w="1528"/>
        <w:gridCol w:w="1274"/>
        <w:gridCol w:w="893"/>
      </w:tblGrid>
      <w:tr>
        <w:trPr/>
        <w:tc>
          <w:tcPr>
            <w:tcW w:w="7047" w:type="dxa"/>
            <w:gridSpan w:val="5"/>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b/>
                <w:sz w:val="20"/>
                <w:szCs w:val="20"/>
                <w:lang w:val="en-GB"/>
              </w:rPr>
              <w:t>Supplementary Table 4</w:t>
            </w:r>
            <w:r>
              <w:rPr>
                <w:sz w:val="20"/>
                <w:szCs w:val="20"/>
                <w:lang w:val="en-GB"/>
              </w:rPr>
              <w:t xml:space="preserve"> Children characteristics: comparative analysis</w:t>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Age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6.77</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0.31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6.03</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268</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7.03</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0.37</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6.13</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-0.27</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0.48</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t=-0.55</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P(T&lt;t)=0.29</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P(|T|&gt;|t|)=0.58</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P(T&gt;t)=0.71</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Gender</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386</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1.46</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254</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1.49</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0.03</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0.50</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0.04</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diff=0</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t=-0.67</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P(T&lt;t)=0.25</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P(|T|&gt;|t|)=0.50</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P(T&gt;t)=0.75</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b/>
                <w:sz w:val="20"/>
                <w:szCs w:val="20"/>
                <w:lang w:val="en-GB"/>
              </w:rPr>
              <w:t>Wealth index score</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Study participation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Obs</w:t>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Mean</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S.E.</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S.D.</w:t>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Yes</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348</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0.01</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nil"/>
              <w:right w:val="nil"/>
              <w:insideH w:val="nil"/>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No</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210</w:t>
            </w:r>
          </w:p>
        </w:tc>
        <w:tc>
          <w:tcPr>
            <w:tcW w:w="1528"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1274"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nil"/>
              <w:right w:val="nil"/>
              <w:insideH w:val="nil"/>
              <w:insideV w:val="nil"/>
            </w:tcBorders>
            <w:shd w:color="auto" w:fill="auto" w:val="clear"/>
          </w:tcPr>
          <w:p>
            <w:pPr>
              <w:pStyle w:val="Normal"/>
              <w:rPr>
                <w:sz w:val="20"/>
                <w:szCs w:val="20"/>
                <w:lang w:val="en-GB"/>
              </w:rPr>
            </w:pPr>
            <w:r>
              <w:rPr>
                <w:sz w:val="20"/>
                <w:szCs w:val="20"/>
                <w:lang w:val="en-GB"/>
              </w:rPr>
              <w:t>0.25</w:t>
            </w:r>
          </w:p>
        </w:tc>
      </w:tr>
      <w:tr>
        <w:trPr/>
        <w:tc>
          <w:tcPr>
            <w:tcW w:w="207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i/>
                <w:sz w:val="20"/>
                <w:szCs w:val="20"/>
                <w:lang w:val="en-GB"/>
              </w:rPr>
              <w:t xml:space="preserve"> </w:t>
            </w:r>
            <w:r>
              <w:rPr>
                <w:i/>
                <w:sz w:val="20"/>
                <w:szCs w:val="20"/>
                <w:lang w:val="en-GB"/>
              </w:rPr>
              <w:t>Difference</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c>
          <w:tcPr>
            <w:tcW w:w="1528"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-0.03</w:t>
            </w:r>
          </w:p>
        </w:tc>
        <w:tc>
          <w:tcPr>
            <w:tcW w:w="1274"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t>0.02</w:t>
            </w:r>
          </w:p>
        </w:tc>
        <w:tc>
          <w:tcPr>
            <w:tcW w:w="893" w:type="dxa"/>
            <w:tcBorders>
              <w:top w:val="nil"/>
              <w:left w:val="nil"/>
              <w:bottom w:val="single" w:sz="8" w:space="0" w:color="000001"/>
              <w:right w:val="nil"/>
              <w:insideH w:val="single" w:sz="8" w:space="0" w:color="000001"/>
              <w:insideV w:val="nil"/>
            </w:tcBorders>
            <w:shd w:color="auto" w:fill="auto" w:val="clear"/>
          </w:tcPr>
          <w:p>
            <w:pPr>
              <w:pStyle w:val="Normal"/>
              <w:rPr>
                <w:sz w:val="20"/>
                <w:szCs w:val="20"/>
                <w:lang w:val="en-GB"/>
              </w:rPr>
            </w:pPr>
            <w:r>
              <w:rPr>
                <w:sz w:val="20"/>
                <w:szCs w:val="20"/>
                <w:lang w:val="en-GB"/>
              </w:rPr>
            </w:r>
          </w:p>
        </w:tc>
      </w:tr>
      <w:tr>
        <w:trPr/>
        <w:tc>
          <w:tcPr>
            <w:tcW w:w="207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Diff = mean(Yes) - mean(No)</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diff&lt;0</w:t>
            </w:r>
          </w:p>
        </w:tc>
        <w:tc>
          <w:tcPr>
            <w:tcW w:w="1528"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diff≠0</w:t>
            </w:r>
          </w:p>
        </w:tc>
        <w:tc>
          <w:tcPr>
            <w:tcW w:w="1274"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Ha: diff&gt;0</w:t>
            </w:r>
          </w:p>
        </w:tc>
        <w:tc>
          <w:tcPr>
            <w:tcW w:w="893" w:type="dxa"/>
            <w:tcBorders>
              <w:top w:val="single" w:sz="8" w:space="0" w:color="000001"/>
              <w:left w:val="nil"/>
              <w:bottom w:val="nil"/>
              <w:right w:val="nil"/>
              <w:insideH w:val="nil"/>
              <w:insideV w:val="nil"/>
            </w:tcBorders>
            <w:shd w:color="auto" w:fill="auto" w:val="clear"/>
          </w:tcPr>
          <w:p>
            <w:pPr>
              <w:pStyle w:val="Normal"/>
              <w:rPr>
                <w:sz w:val="20"/>
                <w:szCs w:val="20"/>
                <w:lang w:val="en-GB"/>
              </w:rPr>
            </w:pPr>
            <w:r>
              <w:rPr>
                <w:sz w:val="20"/>
                <w:szCs w:val="20"/>
                <w:lang w:val="en-GB"/>
              </w:rPr>
              <w:t>H</w:t>
            </w:r>
            <w:r>
              <w:rPr>
                <w:sz w:val="20"/>
                <w:szCs w:val="20"/>
                <w:vertAlign w:val="subscript"/>
                <w:lang w:val="en-GB"/>
              </w:rPr>
              <w:t>0</w:t>
            </w:r>
            <w:r>
              <w:rPr>
                <w:sz w:val="20"/>
                <w:szCs w:val="20"/>
                <w:lang w:val="en-GB"/>
              </w:rPr>
              <w:t xml:space="preserve">: diff=0      </w:t>
            </w:r>
          </w:p>
        </w:tc>
      </w:tr>
      <w:tr>
        <w:trPr/>
        <w:tc>
          <w:tcPr>
            <w:tcW w:w="207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t=-1.24</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P(T&lt;t)=0.11</w:t>
            </w:r>
          </w:p>
        </w:tc>
        <w:tc>
          <w:tcPr>
            <w:tcW w:w="1528"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P(|T|&gt;|t|)=0.21</w:t>
            </w:r>
          </w:p>
        </w:tc>
        <w:tc>
          <w:tcPr>
            <w:tcW w:w="1274"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t>P(T&gt;t)=0.89</w:t>
            </w:r>
          </w:p>
        </w:tc>
        <w:tc>
          <w:tcPr>
            <w:tcW w:w="893" w:type="dxa"/>
            <w:tcBorders>
              <w:top w:val="nil"/>
              <w:left w:val="nil"/>
              <w:bottom w:val="single" w:sz="12" w:space="0" w:color="000001"/>
              <w:right w:val="nil"/>
              <w:insideH w:val="single" w:sz="12" w:space="0" w:color="000001"/>
              <w:insideV w:val="nil"/>
            </w:tcBorders>
            <w:shd w:color="auto" w:fill="auto" w:val="clear"/>
          </w:tcPr>
          <w:p>
            <w:pPr>
              <w:pStyle w:val="Normal"/>
              <w:rPr>
                <w:sz w:val="20"/>
                <w:szCs w:val="20"/>
                <w:lang w:val="en-GB"/>
              </w:rPr>
            </w:pPr>
            <w:r>
              <w:rPr>
                <w:sz w:val="20"/>
                <w:szCs w:val="20"/>
                <w:lang w:val="en-GB"/>
              </w:rPr>
            </w:r>
          </w:p>
        </w:tc>
      </w:tr>
      <w:tr>
        <w:trPr/>
        <w:tc>
          <w:tcPr>
            <w:tcW w:w="7047" w:type="dxa"/>
            <w:gridSpan w:val="5"/>
            <w:tcBorders>
              <w:top w:val="single" w:sz="12" w:space="0" w:color="000001"/>
              <w:left w:val="nil"/>
              <w:bottom w:val="nil"/>
              <w:right w:val="nil"/>
              <w:insideH w:val="nil"/>
              <w:insideV w:val="nil"/>
            </w:tcBorders>
            <w:shd w:color="auto" w:fill="auto" w:val="clear"/>
          </w:tcPr>
          <w:p>
            <w:pPr>
              <w:pStyle w:val="Normal"/>
              <w:rPr>
                <w:sz w:val="20"/>
                <w:szCs w:val="20"/>
                <w:lang w:val="en-GB"/>
              </w:rPr>
            </w:pPr>
            <w:r>
              <w:rPr>
                <w:i/>
                <w:sz w:val="20"/>
                <w:szCs w:val="20"/>
                <w:u w:val="single"/>
                <w:lang w:val="en-GB"/>
              </w:rPr>
              <w:t>Note</w:t>
            </w:r>
            <w:r>
              <w:rPr>
                <w:i/>
                <w:sz w:val="20"/>
                <w:szCs w:val="20"/>
                <w:lang w:val="en-GB"/>
              </w:rPr>
              <w:t>: t-tests show no statistically significant differences between children’s age, gender or socio-economic status among included and non-included children that suffered a malaria episode at the time of the study.</w:t>
            </w:r>
          </w:p>
        </w:tc>
      </w:tr>
    </w:tbl>
    <w:p>
      <w:pPr>
        <w:pStyle w:val="Normal"/>
        <w:rPr>
          <w:sz w:val="20"/>
          <w:szCs w:val="20"/>
          <w:lang w:val="en-GB" w:eastAsia="en-GB"/>
        </w:rPr>
      </w:pPr>
      <w:r>
        <w:rPr>
          <w:sz w:val="20"/>
          <w:szCs w:val="20"/>
          <w:lang w:val="en-GB" w:eastAsia="en-GB"/>
        </w:rPr>
      </w:r>
    </w:p>
    <w:p>
      <w:pPr>
        <w:pStyle w:val="Normal"/>
        <w:rPr>
          <w:sz w:val="20"/>
          <w:szCs w:val="20"/>
          <w:lang w:val="en-GB" w:eastAsia="en-GB"/>
        </w:rPr>
      </w:pPr>
      <w:r>
        <w:rPr>
          <w:sz w:val="20"/>
          <w:szCs w:val="20"/>
          <w:lang w:val="en-GB" w:eastAsia="en-GB"/>
        </w:rPr>
      </w:r>
    </w:p>
    <w:p>
      <w:pPr>
        <w:pStyle w:val="Normal"/>
        <w:rPr>
          <w:lang w:val="en-GB"/>
        </w:rPr>
      </w:pPr>
      <w:r>
        <w:rPr>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2"/>
        <w:spacing w:lineRule="auto" w:line="360"/>
        <w:rPr>
          <w:lang w:val="en-GB"/>
        </w:rPr>
      </w:pPr>
      <w:bookmarkStart w:id="300" w:name="_Toc382138195"/>
      <w:bookmarkEnd w:id="300"/>
      <w:r>
        <w:rPr>
          <w:lang w:val="en-GB"/>
        </w:rPr>
        <w:t>Article 4</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Costs associated with delivering HPV vaccination in the context of the first year demonstration programme in Southern Mozambique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u w:val="single"/>
          <w:lang w:val="en-GB"/>
        </w:rPr>
        <w:t>Sergi Alonso</w:t>
      </w:r>
      <w:r>
        <w:rPr>
          <w:rFonts w:ascii="Calibri" w:hAnsi="Calibri" w:asciiTheme="majorHAnsi" w:hAnsiTheme="majorHAnsi"/>
          <w:lang w:val="en-GB"/>
        </w:rPr>
        <w:t>, Olga Cambaco, Yolanda Maússe, Graça Matsinhe, Eusébio Macete, Esperança Sevene, Clara Menéndez, Elisa Sicuri,</w:t>
      </w:r>
      <w:r>
        <w:rPr>
          <w:rFonts w:ascii="Calibri" w:hAnsi="Calibri" w:asciiTheme="majorHAnsi" w:hAnsiTheme="majorHAnsi"/>
          <w:vertAlign w:val="superscript"/>
          <w:lang w:val="en-GB"/>
        </w:rPr>
        <w:t xml:space="preserve"> </w:t>
      </w:r>
      <w:r>
        <w:rPr>
          <w:rFonts w:ascii="Calibri" w:hAnsi="Calibri" w:asciiTheme="majorHAnsi" w:hAnsiTheme="majorHAnsi"/>
          <w:lang w:val="en-GB"/>
        </w:rPr>
        <w:t>Khátia Munguambe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i/>
          <w:i/>
          <w:lang w:val="en-GB"/>
        </w:rPr>
      </w:pPr>
      <w:r>
        <w:rPr>
          <w:rFonts w:ascii="Calibri" w:hAnsi="Calibri" w:asciiTheme="majorHAnsi" w:hAnsiTheme="majorHAnsi"/>
          <w:i/>
          <w:lang w:val="en-GB"/>
        </w:rPr>
        <w:t>Currently under preparation. To be submitted to BMC Public Health</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Costs associated with delivering HPV vaccination in the context of the first year demonstration programme in Southern Mozambique</w:t>
      </w:r>
    </w:p>
    <w:p>
      <w:pPr>
        <w:pStyle w:val="Normal"/>
        <w:spacing w:lineRule="auto" w:line="360"/>
        <w:rPr>
          <w:rFonts w:ascii="Times New Roman" w:hAnsi="Times New Roman" w:eastAsia="Times New Roman" w:cs="Times New Roman"/>
          <w:lang w:val="pt-BR"/>
        </w:rPr>
      </w:pPr>
      <w:r>
        <w:rPr>
          <w:rFonts w:eastAsia="Times New Roman" w:cs="Times New Roman" w:ascii="Times New Roman" w:hAnsi="Times New Roman"/>
          <w:lang w:val="pt-BR"/>
        </w:rPr>
        <w:t>Sergi Alonso</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Olga Cambaco</w:t>
      </w:r>
      <w:r>
        <w:rPr>
          <w:rFonts w:cs="Times New Roman" w:ascii="Times New Roman" w:hAnsi="Times New Roman"/>
          <w:vertAlign w:val="superscript"/>
          <w:lang w:val="pt-BR"/>
        </w:rPr>
        <w:t>1</w:t>
      </w:r>
      <w:r>
        <w:rPr>
          <w:rFonts w:eastAsia="Times New Roman" w:cs="Times New Roman" w:ascii="Times New Roman" w:hAnsi="Times New Roman"/>
          <w:lang w:val="pt-BR"/>
        </w:rPr>
        <w:t>, Yolanda Maússe</w:t>
      </w:r>
      <w:r>
        <w:rPr>
          <w:rFonts w:cs="Times New Roman" w:ascii="Times New Roman" w:hAnsi="Times New Roman"/>
          <w:vertAlign w:val="superscript"/>
          <w:lang w:val="pt-BR"/>
        </w:rPr>
        <w:t>1</w:t>
      </w:r>
      <w:r>
        <w:rPr>
          <w:rFonts w:eastAsia="Times New Roman" w:cs="Times New Roman" w:ascii="Times New Roman" w:hAnsi="Times New Roman"/>
          <w:lang w:val="pt-BR"/>
        </w:rPr>
        <w:t>, Graça Matsinhe</w:t>
      </w:r>
      <w:r>
        <w:rPr>
          <w:rFonts w:eastAsia="Times New Roman" w:cs="Times New Roman" w:ascii="Times New Roman" w:hAnsi="Times New Roman"/>
          <w:vertAlign w:val="superscript"/>
          <w:lang w:val="pt-BR"/>
        </w:rPr>
        <w:t>3</w:t>
      </w:r>
      <w:r>
        <w:rPr>
          <w:rFonts w:eastAsia="Times New Roman" w:cs="Times New Roman" w:ascii="Times New Roman" w:hAnsi="Times New Roman"/>
          <w:lang w:val="pt-BR"/>
        </w:rPr>
        <w:t>, Eusébio Macete</w:t>
      </w:r>
      <w:r>
        <w:rPr>
          <w:rFonts w:eastAsia="Times New Roman" w:cs="Times New Roman" w:ascii="Times New Roman" w:hAnsi="Times New Roman"/>
          <w:vertAlign w:val="superscript"/>
          <w:lang w:val="pt-BR"/>
        </w:rPr>
        <w:t>1</w:t>
      </w:r>
      <w:r>
        <w:rPr>
          <w:rFonts w:eastAsia="Times New Roman" w:cs="Times New Roman" w:ascii="Times New Roman" w:hAnsi="Times New Roman"/>
          <w:lang w:val="pt-BR"/>
        </w:rPr>
        <w:t>, Clara Menendez</w:t>
      </w:r>
      <w:r>
        <w:rPr>
          <w:rFonts w:eastAsia="Times New Roman" w:cs="Times New Roman" w:ascii="Times New Roman" w:hAnsi="Times New Roman"/>
          <w:vertAlign w:val="superscript"/>
          <w:lang w:val="pt-BR"/>
        </w:rPr>
        <w:t>1,2</w:t>
      </w:r>
      <w:r>
        <w:rPr>
          <w:rFonts w:eastAsia="Times New Roman" w:cs="Times New Roman" w:ascii="Times New Roman" w:hAnsi="Times New Roman"/>
          <w:lang w:val="pt-BR"/>
        </w:rPr>
        <w:t>, Elisa Sicuri</w:t>
      </w:r>
      <w:r>
        <w:rPr>
          <w:rFonts w:eastAsia="Times New Roman" w:cs="Times New Roman" w:ascii="Times New Roman" w:hAnsi="Times New Roman"/>
          <w:vertAlign w:val="superscript"/>
          <w:lang w:val="pt-BR"/>
        </w:rPr>
        <w:t>2,4</w:t>
      </w:r>
      <w:r>
        <w:rPr>
          <w:rFonts w:eastAsia="Times New Roman" w:cs="Times New Roman" w:ascii="Times New Roman" w:hAnsi="Times New Roman"/>
          <w:lang w:val="pt-BR"/>
        </w:rPr>
        <w:t>,</w:t>
      </w:r>
      <w:r>
        <w:rPr>
          <w:rFonts w:eastAsia="Times New Roman" w:cs="Times New Roman" w:ascii="Times New Roman" w:hAnsi="Times New Roman"/>
          <w:vertAlign w:val="superscript"/>
          <w:lang w:val="pt-BR"/>
        </w:rPr>
        <w:t xml:space="preserve"> </w:t>
      </w:r>
      <w:r>
        <w:rPr>
          <w:rFonts w:eastAsia="Times New Roman" w:cs="Times New Roman" w:ascii="Times New Roman" w:hAnsi="Times New Roman"/>
          <w:lang w:val="pt-BR"/>
        </w:rPr>
        <w:t>Esperança Sevene</w:t>
      </w:r>
      <w:r>
        <w:rPr>
          <w:rFonts w:eastAsia="Times New Roman" w:cs="Times New Roman" w:ascii="Times New Roman" w:hAnsi="Times New Roman"/>
          <w:vertAlign w:val="superscript"/>
          <w:lang w:val="pt-BR"/>
        </w:rPr>
        <w:t>1,5</w:t>
      </w:r>
      <w:r>
        <w:rPr>
          <w:rFonts w:eastAsia="Times New Roman" w:cs="Times New Roman" w:ascii="Times New Roman" w:hAnsi="Times New Roman"/>
          <w:lang w:val="pt-BR"/>
        </w:rPr>
        <w:t xml:space="preserve">, </w:t>
      </w:r>
      <w:r>
        <w:rPr>
          <w:rFonts w:cs="Times New Roman" w:ascii="Times New Roman" w:hAnsi="Times New Roman"/>
          <w:lang w:val="pt-BR"/>
        </w:rPr>
        <w:t>Khátia Munguambe</w:t>
      </w:r>
      <w:r>
        <w:rPr>
          <w:rFonts w:cs="Times New Roman" w:ascii="Times New Roman" w:hAnsi="Times New Roman"/>
          <w:vertAlign w:val="superscript"/>
          <w:lang w:val="pt-BR"/>
        </w:rPr>
        <w:t>1,5</w:t>
      </w:r>
    </w:p>
    <w:p>
      <w:pPr>
        <w:pStyle w:val="Normal"/>
        <w:spacing w:lineRule="auto" w:line="360"/>
        <w:rPr>
          <w:rFonts w:ascii="Times New Roman" w:hAnsi="Times New Roman" w:eastAsia="Times New Roman" w:cs="Times New Roman"/>
          <w:i/>
          <w:i/>
          <w:sz w:val="18"/>
          <w:szCs w:val="18"/>
        </w:rPr>
      </w:pPr>
      <w:r>
        <w:rPr>
          <w:rFonts w:eastAsia="Times New Roman" w:cs="Times New Roman" w:ascii="Times New Roman" w:hAnsi="Times New Roman"/>
          <w:i/>
          <w:sz w:val="18"/>
          <w:szCs w:val="18"/>
        </w:rPr>
      </w:r>
    </w:p>
    <w:p>
      <w:pPr>
        <w:pStyle w:val="Normal"/>
        <w:spacing w:lineRule="auto" w:line="360"/>
        <w:rPr>
          <w:rFonts w:ascii="Times New Roman" w:hAnsi="Times New Roman" w:cs="Times New Roman"/>
          <w:i/>
          <w:i/>
          <w:sz w:val="18"/>
          <w:szCs w:val="18"/>
          <w:lang w:val="en-ZA"/>
        </w:rPr>
      </w:pPr>
      <w:r>
        <w:rPr>
          <w:rFonts w:eastAsia="Times New Roman" w:cs="Times New Roman" w:ascii="Times New Roman" w:hAnsi="Times New Roman"/>
          <w:i/>
          <w:sz w:val="18"/>
          <w:szCs w:val="18"/>
          <w:vertAlign w:val="superscript"/>
        </w:rPr>
        <w:t>1</w:t>
      </w:r>
      <w:r>
        <w:rPr>
          <w:rFonts w:cs="Times New Roman" w:ascii="Times New Roman" w:hAnsi="Times New Roman"/>
          <w:i/>
          <w:sz w:val="18"/>
          <w:szCs w:val="18"/>
          <w:lang w:val="en-ZA"/>
        </w:rPr>
        <w:t xml:space="preserve">Manhiça Health </w:t>
      </w:r>
      <w:r>
        <w:rPr>
          <w:rFonts w:eastAsia="Times New Roman" w:cs="Times New Roman" w:ascii="Times New Roman" w:hAnsi="Times New Roman"/>
          <w:i/>
          <w:sz w:val="18"/>
          <w:szCs w:val="18"/>
          <w:lang w:val="en-ZA"/>
        </w:rPr>
        <w:t>Research</w:t>
      </w:r>
      <w:r>
        <w:rPr>
          <w:rFonts w:cs="Times New Roman" w:ascii="Times New Roman" w:hAnsi="Times New Roman"/>
          <w:i/>
          <w:sz w:val="18"/>
          <w:szCs w:val="18"/>
          <w:lang w:val="en-ZA"/>
        </w:rPr>
        <w:t xml:space="preserve"> Centre (CISM), Manhiça, Mozambique</w:t>
      </w:r>
    </w:p>
    <w:p>
      <w:pPr>
        <w:pStyle w:val="Normal"/>
        <w:spacing w:lineRule="auto" w:line="360"/>
        <w:rPr>
          <w:rFonts w:ascii="Times New Roman" w:hAnsi="Times New Roman" w:eastAsia="Times New Roman" w:cs="Times New Roman"/>
          <w:i/>
          <w:i/>
          <w:sz w:val="18"/>
          <w:szCs w:val="18"/>
          <w:lang w:val="pt-BR"/>
        </w:rPr>
      </w:pPr>
      <w:r>
        <w:rPr>
          <w:rFonts w:cs="Times New Roman" w:ascii="Times New Roman" w:hAnsi="Times New Roman"/>
          <w:i/>
          <w:sz w:val="18"/>
          <w:szCs w:val="18"/>
          <w:vertAlign w:val="superscript"/>
          <w:lang w:val="en-ZA"/>
        </w:rPr>
        <w:t>2</w:t>
      </w:r>
      <w:r>
        <w:rPr>
          <w:rFonts w:eastAsia="Times New Roman" w:cs="Times New Roman" w:ascii="Times New Roman" w:hAnsi="Times New Roman"/>
          <w:i/>
          <w:sz w:val="18"/>
          <w:szCs w:val="18"/>
        </w:rPr>
        <w:t>ISGlobal, Hospital Clínic - Universitat de Barcelona, Barcelona, Spain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3</w:t>
      </w:r>
      <w:r>
        <w:rPr>
          <w:rFonts w:cs="Times New Roman" w:ascii="Times New Roman" w:hAnsi="Times New Roman"/>
          <w:i/>
          <w:sz w:val="18"/>
          <w:szCs w:val="18"/>
        </w:rPr>
        <w:t>Expanded Program on Immunisation (EPI), Ministry of Health, Maputo, Mozambique</w:t>
      </w:r>
    </w:p>
    <w:p>
      <w:pPr>
        <w:pStyle w:val="Normal"/>
        <w:spacing w:lineRule="auto" w:line="360"/>
        <w:rPr>
          <w:rFonts w:ascii="Times New Roman" w:hAnsi="Times New Roman" w:cs="Times New Roman"/>
          <w:i/>
          <w:i/>
          <w:sz w:val="18"/>
          <w:szCs w:val="18"/>
          <w:lang w:val="en-ZA"/>
        </w:rPr>
      </w:pPr>
      <w:r>
        <w:rPr>
          <w:rFonts w:cs="Times New Roman" w:ascii="Times New Roman" w:hAnsi="Times New Roman"/>
          <w:i/>
          <w:sz w:val="18"/>
          <w:szCs w:val="18"/>
          <w:vertAlign w:val="superscript"/>
        </w:rPr>
        <w:t>4</w:t>
      </w:r>
      <w:r>
        <w:rPr>
          <w:rFonts w:cs="Times New Roman" w:ascii="Times New Roman" w:hAnsi="Times New Roman"/>
          <w:i/>
          <w:sz w:val="18"/>
          <w:szCs w:val="18"/>
        </w:rPr>
        <w:t>Health Economics group, School of Public Health, Department of Infectious Disease Epidemiology, Imperial College London</w:t>
      </w:r>
    </w:p>
    <w:p>
      <w:pPr>
        <w:pStyle w:val="Normal"/>
        <w:spacing w:lineRule="auto" w:line="360"/>
        <w:rPr>
          <w:rFonts w:ascii="Times New Roman" w:hAnsi="Times New Roman" w:cs="Times New Roman"/>
          <w:i/>
          <w:i/>
          <w:sz w:val="18"/>
          <w:szCs w:val="18"/>
        </w:rPr>
      </w:pPr>
      <w:r>
        <w:rPr>
          <w:rFonts w:cs="Times New Roman" w:ascii="Times New Roman" w:hAnsi="Times New Roman"/>
          <w:i/>
          <w:sz w:val="18"/>
          <w:szCs w:val="18"/>
          <w:vertAlign w:val="superscript"/>
        </w:rPr>
        <w:t>5</w:t>
      </w:r>
      <w:r>
        <w:rPr>
          <w:rFonts w:cs="Times New Roman" w:ascii="Times New Roman" w:hAnsi="Times New Roman"/>
          <w:i/>
          <w:sz w:val="18"/>
          <w:szCs w:val="18"/>
        </w:rPr>
        <w:t>Faculty of Medicine, Eduardo Mondlane University, Maputo, Mozambique</w:t>
      </w:r>
    </w:p>
    <w:p>
      <w:pPr>
        <w:pStyle w:val="Heading1"/>
        <w:rPr>
          <w:rFonts w:ascii="Times New Roman" w:hAnsi="Times New Roman"/>
          <w:color w:val="000000" w:themeColor="text1"/>
          <w:sz w:val="22"/>
          <w:szCs w:val="22"/>
        </w:rPr>
      </w:pPr>
      <w:r>
        <w:rPr>
          <w:rFonts w:ascii="Times New Roman" w:hAnsi="Times New Roman"/>
          <w:color w:val="000000" w:themeColor="text1"/>
          <w:sz w:val="22"/>
          <w:szCs w:val="22"/>
        </w:rPr>
        <w:t>Email addresses: Sergi Alonso (sergi.alonso@manhiça.net), Olga Cambaco (olga.cambaco@manhica.net), Yolanda Maússe (yolanda.mausse@manhica.net), Graça Matsinhe (gmatsinhe@gmail.com), Eusébio Macete (Eusebio.Macete@manhica.net), Clara Menendez (clara.menendez@isglobal.org), Elisa Sicuri (elisa.sicuri@isglobal.org), Esperança Sevene (esperanca.sevene@manhica.net), Khátia Munguambe (khatia.munguambe@manhica.net)</w:t>
      </w:r>
    </w:p>
    <w:p>
      <w:pPr>
        <w:pStyle w:val="Normal"/>
        <w:rPr/>
      </w:pPr>
      <w:r>
        <w:rPr/>
      </w:r>
    </w:p>
    <w:p>
      <w:pPr>
        <w:pStyle w:val="Normal"/>
        <w:rPr>
          <w:b/>
          <w:b/>
        </w:rPr>
      </w:pPr>
      <w:r>
        <w:rPr>
          <w:b/>
        </w:rPr>
        <w:t xml:space="preserve">Correspondence to Sergi Alonso: </w:t>
      </w:r>
      <w:r>
        <w:rPr/>
        <w:t>sergi.alonso@manhiça.net</w:t>
      </w:r>
    </w:p>
    <w:p>
      <w:pPr>
        <w:pStyle w:val="Normal"/>
        <w:rPr/>
      </w:pPr>
      <w:r>
        <w:rPr/>
        <w:t>CISM (Centro de Investigação em Saúde de Manhiça)</w:t>
      </w:r>
    </w:p>
    <w:p>
      <w:pPr>
        <w:pStyle w:val="Normal"/>
        <w:rPr/>
      </w:pPr>
      <w:r>
        <w:rPr/>
        <w:t xml:space="preserve">Bairro Cambeve, Rua 12, Distrito da Manhiça, CP 1929, Maputo-Moçambique. </w:t>
      </w:r>
    </w:p>
    <w:p>
      <w:pPr>
        <w:pStyle w:val="Normal"/>
        <w:rPr>
          <w:b/>
          <w:b/>
        </w:rPr>
      </w:pPr>
      <w:r>
        <w:rPr>
          <w:b/>
        </w:rPr>
      </w:r>
    </w:p>
    <w:p>
      <w:pPr>
        <w:pStyle w:val="Normal"/>
        <w:rPr/>
      </w:pPr>
      <w:r>
        <w:rPr>
          <w:b/>
        </w:rPr>
        <w:t>Keywords</w:t>
      </w:r>
      <w:r>
        <w:rPr/>
        <w:t>: Human papillomavirus, HPV-vaccination, Cost estimation, Mozambique.</w:t>
      </w:r>
    </w:p>
    <w:p>
      <w:pPr>
        <w:pStyle w:val="Normal"/>
        <w:rPr>
          <w:b/>
          <w:b/>
        </w:rPr>
      </w:pPr>
      <w:r>
        <w:rPr>
          <w:b/>
        </w:rPr>
      </w:r>
    </w:p>
    <w:p>
      <w:pPr>
        <w:pStyle w:val="Normal"/>
        <w:rPr/>
      </w:pPr>
      <w:r>
        <w:rPr>
          <w:b/>
        </w:rPr>
        <w:t>Text words</w:t>
      </w:r>
      <w:r>
        <w:rPr/>
        <w:t>: 4,387 words (without abstract, tables, figures and references)</w:t>
      </w:r>
    </w:p>
    <w:p>
      <w:pPr>
        <w:pStyle w:val="Normal"/>
        <w:rPr/>
      </w:pPr>
      <w:r>
        <w:rPr>
          <w:b/>
        </w:rPr>
        <w:t>Abstract words</w:t>
      </w:r>
      <w:r>
        <w:rPr/>
        <w:t>: 344 (max. 350!)</w:t>
      </w:r>
    </w:p>
    <w:p>
      <w:pPr>
        <w:pStyle w:val="Normal"/>
        <w:rPr/>
      </w:pPr>
      <w:bookmarkStart w:id="301" w:name="_Toc460593290"/>
      <w:bookmarkStart w:id="302" w:name="_Toc460593290"/>
      <w:bookmarkEnd w:id="302"/>
      <w:r>
        <w:rPr/>
      </w:r>
    </w:p>
    <w:p>
      <w:pPr>
        <w:pStyle w:val="Normal"/>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rPr>
      </w:pPr>
      <w:r>
        <w:rPr>
          <w:rFonts w:cs="Times New Roman" w:ascii="Times New Roman" w:hAnsi="Times New Roman"/>
          <w:b/>
        </w:rPr>
        <w:t>Abstract</w:t>
      </w:r>
    </w:p>
    <w:p>
      <w:pPr>
        <w:pStyle w:val="Normal"/>
        <w:spacing w:lineRule="auto" w:line="480"/>
        <w:rPr>
          <w:rFonts w:ascii="Times New Roman" w:hAnsi="Times New Roman" w:cs="Times New Roman"/>
          <w:u w:val="single"/>
        </w:rPr>
      </w:pPr>
      <w:r>
        <w:rPr>
          <w:rFonts w:cs="Times New Roman" w:ascii="Times New Roman" w:hAnsi="Times New Roman"/>
          <w:u w:val="single"/>
        </w:rPr>
        <w:t>Introduction</w:t>
      </w:r>
    </w:p>
    <w:p>
      <w:pPr>
        <w:pStyle w:val="Normal"/>
        <w:spacing w:lineRule="auto" w:line="480"/>
        <w:rPr/>
      </w:pPr>
      <w:r>
        <w:rPr>
          <w:rFonts w:cs="Times New Roman" w:ascii="Times New Roman" w:hAnsi="Times New Roman"/>
        </w:rPr>
        <w:t xml:space="preserve">In Mozambique, cervical cancer is a public health threat, due to its high incidence and limited access to early diagnosis of precancerous lesions. International organisations are supporting the introduction of human papillomavirus (HPV) vaccines in low- and middle-income countries. Some of these countries recently conducted demonstration programmes, which included evaluation of acceptability, coverage, and practicality of implementation and of integration in existing programmes. Information on costs of delivering the vaccine is needed </w:t>
      </w:r>
      <w:del w:id="177" w:author="Unknown Author" w:date="2018-04-12T11:27:00Z">
        <w:r>
          <w:rPr>
            <w:rFonts w:cs="Times New Roman" w:ascii="Times New Roman" w:hAnsi="Times New Roman"/>
          </w:rPr>
          <w:delText>due</w:delText>
        </w:r>
      </w:del>
      <w:ins w:id="178" w:author="Unknown Author" w:date="2018-04-12T11:27:00Z">
        <w:r>
          <w:rPr>
            <w:rFonts w:cs="Times New Roman" w:ascii="Times New Roman" w:hAnsi="Times New Roman"/>
          </w:rPr>
          <w:t>in order to overcome</w:t>
        </w:r>
      </w:ins>
      <w:del w:id="179" w:author="Unknown Author" w:date="2018-04-12T11:27:00Z">
        <w:r>
          <w:rPr>
            <w:rFonts w:cs="Times New Roman" w:ascii="Times New Roman" w:hAnsi="Times New Roman"/>
          </w:rPr>
          <w:delText xml:space="preserve"> to</w:delText>
        </w:r>
      </w:del>
      <w:r>
        <w:rPr>
          <w:rFonts w:cs="Times New Roman" w:ascii="Times New Roman" w:hAnsi="Times New Roman"/>
        </w:rPr>
        <w:t xml:space="preserve"> the challenge</w:t>
      </w:r>
      <w:del w:id="180" w:author="Unknown Author" w:date="2018-04-12T11:27:00Z">
        <w:r>
          <w:rPr>
            <w:rFonts w:cs="Times New Roman" w:ascii="Times New Roman" w:hAnsi="Times New Roman"/>
          </w:rPr>
          <w:delText>s</w:delText>
        </w:r>
      </w:del>
      <w:r>
        <w:rPr>
          <w:rFonts w:cs="Times New Roman" w:ascii="Times New Roman" w:hAnsi="Times New Roman"/>
        </w:rPr>
        <w:t xml:space="preserve"> </w:t>
      </w:r>
      <w:ins w:id="181" w:author="Unknown Author" w:date="2018-04-12T11:27:00Z">
        <w:r>
          <w:rPr>
            <w:rFonts w:cs="Times New Roman" w:ascii="Times New Roman" w:hAnsi="Times New Roman"/>
          </w:rPr>
          <w:t>of</w:t>
        </w:r>
      </w:ins>
      <w:del w:id="182" w:author="Unknown Author" w:date="2018-04-12T11:27:00Z">
        <w:r>
          <w:rPr>
            <w:rFonts w:cs="Times New Roman" w:ascii="Times New Roman" w:hAnsi="Times New Roman"/>
          </w:rPr>
          <w:delText>to</w:delText>
        </w:r>
      </w:del>
      <w:r>
        <w:rPr>
          <w:rFonts w:cs="Times New Roman" w:ascii="Times New Roman" w:hAnsi="Times New Roman"/>
        </w:rPr>
        <w:t xml:space="preserve"> reach</w:t>
      </w:r>
      <w:ins w:id="183" w:author="Unknown Author" w:date="2018-04-12T11:27:00Z">
        <w:r>
          <w:rPr>
            <w:rFonts w:cs="Times New Roman" w:ascii="Times New Roman" w:hAnsi="Times New Roman"/>
          </w:rPr>
          <w:t>ing</w:t>
        </w:r>
      </w:ins>
      <w:r>
        <w:rPr>
          <w:rFonts w:cs="Times New Roman" w:ascii="Times New Roman" w:hAnsi="Times New Roman"/>
        </w:rPr>
        <w:t xml:space="preserve"> vaccine recipients in rural and remote areas.</w:t>
      </w:r>
    </w:p>
    <w:p>
      <w:pPr>
        <w:pStyle w:val="Normal"/>
        <w:spacing w:lineRule="auto" w:line="480"/>
        <w:rPr>
          <w:rFonts w:ascii="Times New Roman" w:hAnsi="Times New Roman" w:cs="Times New Roman"/>
          <w:u w:val="single"/>
        </w:rPr>
      </w:pPr>
      <w:r>
        <w:rPr>
          <w:rFonts w:cs="Times New Roman" w:ascii="Times New Roman" w:hAnsi="Times New Roman"/>
          <w:u w:val="single"/>
        </w:rPr>
        <w:t>Methods</w:t>
      </w:r>
    </w:p>
    <w:p>
      <w:pPr>
        <w:pStyle w:val="Normal"/>
        <w:spacing w:lineRule="auto" w:line="480"/>
        <w:rPr>
          <w:rFonts w:ascii="Times New Roman" w:hAnsi="Times New Roman" w:cs="Times New Roman"/>
        </w:rPr>
      </w:pPr>
      <w:r>
        <w:rPr>
          <w:rFonts w:cs="Times New Roman" w:ascii="Times New Roman" w:hAnsi="Times New Roman"/>
        </w:rPr>
        <w:t>We estimated the financial and economic costs of delivering HPV vaccination to 10-year-old girls for the 2014 cycle of the demonstration programme in Manhiça district (Southern Mozambique). We also estimated an alternative scenario with a reduced number of doses and personnel. Cost data were collected after the 2014 cycle. Cost estimates followed a micro-costing approach and included interviews with key informants at different administrative levels through the administration of standard questionnaires developed by the World Health Organisation.</w:t>
      </w:r>
    </w:p>
    <w:p>
      <w:pPr>
        <w:pStyle w:val="Normal"/>
        <w:spacing w:lineRule="auto" w:line="480"/>
        <w:rPr>
          <w:rFonts w:ascii="Times New Roman" w:hAnsi="Times New Roman" w:cs="Times New Roman"/>
          <w:u w:val="single"/>
        </w:rPr>
      </w:pPr>
      <w:r>
        <w:rPr>
          <w:rFonts w:cs="Times New Roman" w:ascii="Times New Roman" w:hAnsi="Times New Roman"/>
          <w:u w:val="single"/>
        </w:rPr>
        <w:t>Results</w:t>
      </w:r>
    </w:p>
    <w:p>
      <w:pPr>
        <w:pStyle w:val="Normal"/>
        <w:spacing w:lineRule="auto" w:line="480"/>
        <w:rPr/>
      </w:pPr>
      <w:r>
        <w:rPr>
          <w:rFonts w:cs="Times New Roman" w:ascii="Times New Roman" w:hAnsi="Times New Roman"/>
        </w:rPr>
        <w:t xml:space="preserve">Considering only data from the first vaccination cycle (2014), which consisted in the administration of three doses, the average economic cost per dose was of 17.59 US$ and of </w:t>
      </w:r>
      <w:r>
        <w:rPr>
          <w:rFonts w:ascii="Times New Roman" w:hAnsi="Times New Roman"/>
        </w:rPr>
        <w:t>52.29</w:t>
      </w:r>
      <w:r>
        <w:rPr>
          <w:rFonts w:cs="Times New Roman" w:ascii="Times New Roman" w:hAnsi="Times New Roman"/>
        </w:rPr>
        <w:t xml:space="preserve"> US$ per fully-immunised girl (FIG). Financial cost per dose (6.07 US$) and FIG (17.95 US$) were substantially lower. As doses reduced to two during the second cycle (2015), </w:t>
      </w:r>
      <w:del w:id="184" w:author="Unknown Author" w:date="2018-04-12T11:29:00Z">
        <w:r>
          <w:rPr>
            <w:rFonts w:cs="Times New Roman" w:ascii="Times New Roman" w:hAnsi="Times New Roman"/>
          </w:rPr>
          <w:delText>an</w:delText>
        </w:r>
      </w:del>
      <w:ins w:id="185" w:author="Unknown Author" w:date="2018-04-12T11:29:00Z">
        <w:r>
          <w:rPr>
            <w:rFonts w:cs="Times New Roman" w:ascii="Times New Roman" w:hAnsi="Times New Roman"/>
          </w:rPr>
          <w:t>the</w:t>
        </w:r>
      </w:ins>
      <w:r>
        <w:rPr>
          <w:rFonts w:cs="Times New Roman" w:ascii="Times New Roman" w:hAnsi="Times New Roman"/>
        </w:rPr>
        <w:t xml:space="preserve"> economic cost per dose </w:t>
      </w:r>
      <w:ins w:id="186" w:author="Unknown Author" w:date="2018-04-12T11:29:00Z">
        <w:r>
          <w:rPr>
            <w:rFonts w:cs="Times New Roman" w:ascii="Times New Roman" w:hAnsi="Times New Roman"/>
          </w:rPr>
          <w:t>was</w:t>
        </w:r>
      </w:ins>
      <w:del w:id="187" w:author="Unknown Author" w:date="2018-04-12T11:29:00Z">
        <w:r>
          <w:rPr>
            <w:rFonts w:cs="Times New Roman" w:ascii="Times New Roman" w:hAnsi="Times New Roman"/>
          </w:rPr>
          <w:delText>resulted in</w:delText>
        </w:r>
      </w:del>
      <w:r>
        <w:rPr>
          <w:rFonts w:cs="Times New Roman" w:ascii="Times New Roman" w:hAnsi="Times New Roman"/>
        </w:rPr>
        <w:t xml:space="preserve"> 15.53 US$ and in 31.14 US$ per FIG.</w:t>
      </w:r>
    </w:p>
    <w:p>
      <w:pPr>
        <w:pStyle w:val="Normal"/>
        <w:spacing w:lineRule="auto" w:line="480"/>
        <w:rPr>
          <w:rFonts w:ascii="Times New Roman" w:hAnsi="Times New Roman" w:cs="Times New Roman"/>
          <w:u w:val="single"/>
        </w:rPr>
      </w:pPr>
      <w:r>
        <w:rPr>
          <w:rFonts w:cs="Times New Roman" w:ascii="Times New Roman" w:hAnsi="Times New Roman"/>
          <w:u w:val="single"/>
        </w:rPr>
        <w:t>Conclusions</w:t>
      </w:r>
    </w:p>
    <w:p>
      <w:pPr>
        <w:pStyle w:val="Normal"/>
        <w:spacing w:lineRule="auto" w:line="480"/>
        <w:rPr>
          <w:rFonts w:ascii="Times New Roman" w:hAnsi="Times New Roman" w:cs="Times New Roman"/>
        </w:rPr>
      </w:pPr>
      <w:r>
        <w:rPr>
          <w:rFonts w:cs="Times New Roman" w:ascii="Times New Roman" w:hAnsi="Times New Roman"/>
        </w:rPr>
        <w:t>The average economic cost per dose was lower than that recently reported for low- and middle-income countries. However, our estimation of the financial cost per FIG was higher than the one observed elsewhere (ranging from 2.49 US$ in India to 20.36 US$ in Vietnam) but in line with similar programmes conducted in Tanzania and Vietnam. If Mozambique is to implement nation-wide HPV vaccination targeted to 10-year-old girls in schools in rural settings, even with minimal cold-chain requirements fulfilled, reductions should be operated to personnel costs either by reducing the outreach team to one vaccinator and one teacher or by restricting the number of supervision visits.</w:t>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pPr>
      <w:bookmarkStart w:id="303" w:name="_Toc460593292"/>
      <w:bookmarkEnd w:id="303"/>
      <w:r>
        <w:rPr>
          <w:rFonts w:ascii="Times New Roman" w:hAnsi="Times New Roman"/>
          <w:b/>
        </w:rPr>
        <w:t>Background</w:t>
      </w:r>
    </w:p>
    <w:p>
      <w:pPr>
        <w:pStyle w:val="Normal"/>
        <w:spacing w:lineRule="auto" w:line="480"/>
        <w:rPr/>
      </w:pPr>
      <w:r>
        <w:rPr>
          <w:rFonts w:cs="Times New Roman" w:ascii="Times New Roman" w:hAnsi="Times New Roman"/>
        </w:rPr>
        <w:t xml:space="preserve">Cervical cancer </w:t>
      </w:r>
      <w:del w:id="188" w:author="Unknown Author" w:date="2018-04-12T11:29:00Z">
        <w:r>
          <w:rPr>
            <w:rFonts w:cs="Times New Roman" w:ascii="Times New Roman" w:hAnsi="Times New Roman"/>
          </w:rPr>
          <w:delText>hits</w:delText>
        </w:r>
      </w:del>
      <w:ins w:id="189" w:author="Unknown Author" w:date="2018-04-12T11:29:00Z">
        <w:r>
          <w:rPr>
            <w:rFonts w:cs="Times New Roman" w:ascii="Times New Roman" w:hAnsi="Times New Roman"/>
          </w:rPr>
          <w:t>affects</w:t>
        </w:r>
      </w:ins>
      <w:r>
        <w:rPr>
          <w:rFonts w:cs="Times New Roman" w:ascii="Times New Roman" w:hAnsi="Times New Roman"/>
        </w:rPr>
        <w:t xml:space="preserve"> more than 500,000 women every year worldwide, and about half die of the disease </w:t>
      </w:r>
      <w:r>
        <w:fldChar w:fldCharType="begin"/>
      </w:r>
      <w:r>
        <w:instrText>ADDIN CSL_CITATION { "citationItems" : [ { "id" : "ITEM-1", "itemData" : { "DOI" : "10.1002/ijc.29210", "ISBN" : "0950-9232 (Print)", "ISSN" : "1097-0215", "PMID" : "25220842", "abstract" : "Estimates of the worldwide incidence and mortality from 27 major cancers and for all cancers combined for 2012 are now available in the GLOBOCAN series of the International Agency for Research on Cancer. We review the sources and methods used in compiling the national cancer incidence and mortality estimates, and briefly describe the key results by cancer site and in 20 large \"areas\" of the world. Overall, there were 14.1 million new cases and 8.2 million deaths in 2012. The most commonly diagnosed cancers were lung (1.82 million), breast (1.67 million), and colorectal (1.36 million); the most common causes of cancer death were lung cancer (1.6 million deaths), liver cancer (745,000 deaths), and stomach cancer (723,000 deaths). \u00a9 2014 Wiley Periodicals, Inc.", "author" : [ { "dropping-particle" : "", "family" : "Ferlay", "given" : "Jacques", "non-dropping-particle" : "", "parse-names" : false, "suffix" : "" }, { "dropping-particle" : "", "family" : "Soerjomataram I", "given" : "I", "non-dropping-particle" : "", "parse-names" : false, "suffix" : "" }, { "dropping-particle" : "", "family" : "Dikshit", "given" : "R", "non-dropping-particle" : "", "parse-names" : false, "suffix" : "" }, { "dropping-particle" : "", "family" : "Eser", "given" : "S", "non-dropping-particle" : "", "parse-names" : false, "suffix" : "" }, { "dropping-particle" : "", "family" : "Mathers", "given" : "C", "non-dropping-particle" : "", "parse-names" : false, "suffix" : "" }, { "dropping-particle" : "", "family" : "Rebelo", "given" : "M", "non-dropping-particle" : "", "parse-names" : false, "suffix" : "" }, { "dropping-particle" : "", "family" : "Parkin", "given" : "D M", "non-dropping-particle" : "", "parse-names" : false, "suffix" : "" }, { "dropping-particle" : "", "family" : "Forman D", "given" : "D", "non-dropping-particle" : "", "parse-names" : false, "suffix" : "" }, { "dropping-particle" : "", "family" : "Bray", "given" : "F", "non-dropping-particle" : "", "parse-names" : false, "suffix" : "" } ], "container-title" : "Int J Cancer", "id" : "ITEM-1", "issue" : "5", "issued" : { "date-parts" : [ [ "2015" ] ] }, "page" : "E359-386", "title" : "Cancer incidence and mortality worldwide: sources, methods and major patterns in GLOBOCAN 2012.", "type" : "article-journal", "volume" : "136" }, "uris" : [ "http://www.mendeley.com/documents/?uuid=e121af90-7e74-4d92-b7bd-328612b46448" ] } ], "mendeley" : { "formattedCitation" : "[1]", "plainTextFormattedCitation" : "[1]", "previouslyFormattedCitation" : "[1]" }, "properties" : {  }, "schema" : "https://github.com/citation-style-language/schema/raw/master/csl-citation.json" }</w:instrText>
      </w:r>
      <w:r>
        <w:fldChar w:fldCharType="separate"/>
      </w:r>
      <w:bookmarkStart w:id="304" w:name="__Fieldmark__8425_513475976"/>
      <w:r>
        <w:rPr>
          <w:rFonts w:cs="Times New Roman" w:ascii="Times New Roman" w:hAnsi="Times New Roman"/>
        </w:rPr>
        <w:t>[</w:t>
      </w:r>
      <w:bookmarkStart w:id="305" w:name="__Fieldmark__12072_903549581"/>
      <w:r>
        <w:rPr>
          <w:rFonts w:cs="Times New Roman" w:ascii="Times New Roman" w:hAnsi="Times New Roman"/>
        </w:rPr>
        <w:t>1]</w:t>
      </w:r>
      <w:r>
        <w:rPr>
          <w:rFonts w:cs="Times New Roman" w:ascii="Times New Roman" w:hAnsi="Times New Roman"/>
        </w:rPr>
      </w:r>
      <w:r>
        <w:fldChar w:fldCharType="end"/>
      </w:r>
      <w:bookmarkEnd w:id="304"/>
      <w:bookmarkEnd w:id="305"/>
      <w:r>
        <w:rPr>
          <w:rFonts w:cs="Times New Roman" w:ascii="Times New Roman" w:hAnsi="Times New Roman"/>
        </w:rPr>
        <w:t xml:space="preserve">. Cervical cancer is currently the most common type of cancer affecting women in low- and lower middle-income countries </w:t>
      </w:r>
      <w:r>
        <w:fldChar w:fldCharType="begin"/>
      </w:r>
      <w:r>
        <w:instrText>ADDIN CSL_CITATION { "citationItems" : [ { "id" : "ITEM-1", "itemData" : { "author" : [ { "dropping-particle" : "", "family" : "World Health Organization", "given" : "", "non-dropping-particle" : "", "parse-names" : false, "suffix" : "" } ], "id" : "ITEM-1", "issued" : { "date-parts" : [ [ "2007" ] ] }, "publisher-place" : "Geneve", "title" : "Cervical cancer, human papillomavirus (HPV), and HPV vaccines. Key points for policy-makers and health professionals", "type" : "report" }, "uris" : [ "http://www.mendeley.com/documents/?uuid=9007ece8-ceea-4c03-aa1c-a59f3500fe0a" ] } ], "mendeley" : { "formattedCitation" : "[2]", "plainTextFormattedCitation" : "[2]", "previouslyFormattedCitation" : "[2]" }, "properties" : {  }, "schema" : "https://github.com/citation-style-language/schema/raw/master/csl-citation.json" }</w:instrText>
      </w:r>
      <w:r>
        <w:fldChar w:fldCharType="separate"/>
      </w:r>
      <w:bookmarkStart w:id="306" w:name="__Fieldmark__8432_513475976"/>
      <w:r>
        <w:rPr>
          <w:rFonts w:cs="Times New Roman" w:ascii="Times New Roman" w:hAnsi="Times New Roman"/>
        </w:rPr>
        <w:t>[</w:t>
      </w:r>
      <w:bookmarkStart w:id="307" w:name="__Fieldmark__12077_903549581"/>
      <w:r>
        <w:rPr>
          <w:rFonts w:cs="Times New Roman" w:ascii="Times New Roman" w:hAnsi="Times New Roman"/>
        </w:rPr>
        <w:t>2]</w:t>
      </w:r>
      <w:r>
        <w:rPr>
          <w:rFonts w:cs="Times New Roman" w:ascii="Times New Roman" w:hAnsi="Times New Roman"/>
        </w:rPr>
      </w:r>
      <w:r>
        <w:fldChar w:fldCharType="end"/>
      </w:r>
      <w:bookmarkEnd w:id="306"/>
      <w:bookmarkEnd w:id="307"/>
      <w:r>
        <w:rPr>
          <w:rFonts w:cs="Times New Roman" w:ascii="Times New Roman" w:hAnsi="Times New Roman"/>
        </w:rPr>
        <w:t xml:space="preserve">. This is also the case </w:t>
      </w:r>
      <w:del w:id="190" w:author="Unknown Author" w:date="2018-04-12T11:30:00Z">
        <w:r>
          <w:rPr>
            <w:rFonts w:cs="Times New Roman" w:ascii="Times New Roman" w:hAnsi="Times New Roman"/>
          </w:rPr>
          <w:delText>of</w:delText>
        </w:r>
      </w:del>
      <w:ins w:id="191" w:author="Unknown Author" w:date="2018-04-12T11:30:00Z">
        <w:r>
          <w:rPr>
            <w:rFonts w:cs="Times New Roman" w:ascii="Times New Roman" w:hAnsi="Times New Roman"/>
          </w:rPr>
          <w:t>in</w:t>
        </w:r>
      </w:ins>
      <w:r>
        <w:rPr>
          <w:rFonts w:cs="Times New Roman" w:ascii="Times New Roman" w:hAnsi="Times New Roman"/>
        </w:rPr>
        <w:t xml:space="preserve"> Mozambique, where 5,622 women were diagnosed with cervical cancer and 4,061 women died of the disease in 2017 </w:t>
      </w:r>
      <w:r>
        <w:fldChar w:fldCharType="begin"/>
      </w:r>
      <w:r>
        <w:instrText>ADDIN CSL_CITATION { "citationItems" : [ { "id" : "ITEM-1", "itemData" : { "author" : [ { "dropping-particle" : "", "family" : "ICO Information Centre on HPV and Cancer", "given" : "", "non-dropping-particle" : "", "parse-names" : false, "suffix" : "" } ], "id" : "ITEM-1", "issued" : { "date-parts" : [ [ "2017" ] ] }, "title" : "Mozambique. Human Papillomavirus and Related Cancers, Fact Sheet 2017", "type" : "article-journal" }, "uris" : [ "http://www.mendeley.com/documents/?uuid=3f5251b9-ec43-4d50-93e2-f723f3ab3473" ] } ], "mendeley" : { "formattedCitation" : "[3]", "plainTextFormattedCitation" : "[3]", "previouslyFormattedCitation" : "[3]" }, "properties" : {  }, "schema" : "https://github.com/citation-style-language/schema/raw/master/csl-citation.json" }</w:instrText>
      </w:r>
      <w:r>
        <w:fldChar w:fldCharType="separate"/>
      </w:r>
      <w:bookmarkStart w:id="308" w:name="__Fieldmark__8439_513475976"/>
      <w:r>
        <w:rPr>
          <w:rFonts w:cs="Times New Roman" w:ascii="Times New Roman" w:hAnsi="Times New Roman"/>
        </w:rPr>
        <w:t>[</w:t>
      </w:r>
      <w:bookmarkStart w:id="309" w:name="__Fieldmark__12082_903549581"/>
      <w:r>
        <w:rPr>
          <w:rFonts w:cs="Times New Roman" w:ascii="Times New Roman" w:hAnsi="Times New Roman"/>
        </w:rPr>
        <w:t>3]</w:t>
      </w:r>
      <w:r>
        <w:rPr>
          <w:rFonts w:cs="Times New Roman" w:ascii="Times New Roman" w:hAnsi="Times New Roman"/>
        </w:rPr>
      </w:r>
      <w:r>
        <w:fldChar w:fldCharType="end"/>
      </w:r>
      <w:bookmarkEnd w:id="308"/>
      <w:bookmarkEnd w:id="309"/>
      <w:r>
        <w:rPr>
          <w:rFonts w:cs="Times New Roman" w:ascii="Times New Roman" w:hAnsi="Times New Roman"/>
        </w:rPr>
        <w:t xml:space="preserve">. Cervical cancer has also been identified to be the most common type of cancer between 1991 and 2008 in the country´s main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10" w:name="__Fieldmark__8446_513475976"/>
      <w:r>
        <w:rPr>
          <w:rFonts w:cs="Times New Roman" w:ascii="Times New Roman" w:hAnsi="Times New Roman"/>
        </w:rPr>
        <w:t>[</w:t>
      </w:r>
      <w:bookmarkStart w:id="311" w:name="__Fieldmark__12087_903549581"/>
      <w:r>
        <w:rPr>
          <w:rFonts w:cs="Times New Roman" w:ascii="Times New Roman" w:hAnsi="Times New Roman"/>
        </w:rPr>
        <w:t>4]</w:t>
      </w:r>
      <w:r>
        <w:rPr>
          <w:rFonts w:cs="Times New Roman" w:ascii="Times New Roman" w:hAnsi="Times New Roman"/>
        </w:rPr>
      </w:r>
      <w:r>
        <w:fldChar w:fldCharType="end"/>
      </w:r>
      <w:bookmarkEnd w:id="310"/>
      <w:bookmarkEnd w:id="311"/>
      <w:r>
        <w:rPr>
          <w:rFonts w:cs="Times New Roman" w:ascii="Times New Roman" w:hAnsi="Times New Roman"/>
        </w:rPr>
        <w:t xml:space="preserve">. However, due to underdiagnoses, any reported figure is very likely to be an underestimation of the real disease burden. Certain types of human papillomavirus (HPV) are among the main causes of cervical cancer. Specifically, HPV 16 and 18 are the two genotypes responsible for about 70% of cervical cancer cases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12" w:name="__Fieldmark__8453_513475976"/>
      <w:r>
        <w:rPr>
          <w:rFonts w:cs="Times New Roman" w:ascii="Times New Roman" w:hAnsi="Times New Roman"/>
        </w:rPr>
        <w:t>[</w:t>
      </w:r>
      <w:bookmarkStart w:id="313" w:name="__Fieldmark__12092_903549581"/>
      <w:r>
        <w:rPr>
          <w:rFonts w:cs="Times New Roman" w:ascii="Times New Roman" w:hAnsi="Times New Roman"/>
        </w:rPr>
        <w:t>5]</w:t>
      </w:r>
      <w:r>
        <w:rPr>
          <w:rFonts w:cs="Times New Roman" w:ascii="Times New Roman" w:hAnsi="Times New Roman"/>
        </w:rPr>
      </w:r>
      <w:r>
        <w:fldChar w:fldCharType="end"/>
      </w:r>
      <w:bookmarkEnd w:id="312"/>
      <w:bookmarkEnd w:id="313"/>
      <w:r>
        <w:rPr>
          <w:rFonts w:cs="Times New Roman" w:ascii="Times New Roman" w:hAnsi="Times New Roman"/>
        </w:rPr>
        <w:t>.</w:t>
      </w:r>
    </w:p>
    <w:p>
      <w:pPr>
        <w:pStyle w:val="Normal"/>
        <w:spacing w:lineRule="auto" w:line="480"/>
        <w:rPr/>
      </w:pPr>
      <w:r>
        <w:rPr>
          <w:rFonts w:cs="Times New Roman" w:ascii="Times New Roman" w:hAnsi="Times New Roman"/>
        </w:rPr>
        <w:t>The development of safe and efficacious vaccines against the two high-risk HPV genotypes raised hope</w:t>
      </w:r>
      <w:ins w:id="192" w:author="Unknown Author" w:date="2018-04-12T11:30:00Z">
        <w:r>
          <w:rPr>
            <w:rFonts w:cs="Times New Roman" w:ascii="Times New Roman" w:hAnsi="Times New Roman"/>
          </w:rPr>
          <w:t>s</w:t>
        </w:r>
      </w:ins>
      <w:r>
        <w:rPr>
          <w:rFonts w:cs="Times New Roman" w:ascii="Times New Roman" w:hAnsi="Times New Roman"/>
        </w:rPr>
        <w:t xml:space="preserve"> </w:t>
      </w:r>
      <w:ins w:id="193" w:author="Unknown Author" w:date="2018-04-12T11:30:00Z">
        <w:r>
          <w:rPr>
            <w:rFonts w:cs="Times New Roman" w:ascii="Times New Roman" w:hAnsi="Times New Roman"/>
          </w:rPr>
          <w:t>of reducing</w:t>
        </w:r>
      </w:ins>
      <w:del w:id="194" w:author="Unknown Author" w:date="2018-04-12T11:30:00Z">
        <w:r>
          <w:rPr>
            <w:rFonts w:cs="Times New Roman" w:ascii="Times New Roman" w:hAnsi="Times New Roman"/>
          </w:rPr>
          <w:delText>to reduce</w:delText>
        </w:r>
      </w:del>
      <w:r>
        <w:rPr>
          <w:rFonts w:cs="Times New Roman" w:ascii="Times New Roman" w:hAnsi="Times New Roman"/>
        </w:rPr>
        <w:t xml:space="preserve"> the global incidence of cervical cancer. While most high-income countries progressively adopted publicly funded HPV vaccination programmes since 2006, few low- and middle-income countries (LMICs) could afford its implementation due to the high vaccine price </w:t>
      </w:r>
      <w:r>
        <w:fldChar w:fldCharType="begin"/>
      </w:r>
      <w:r>
        <w:instrText>ADDIN CSL_CITATION { "citationItems" : [ { "id" : "ITEM-1", "itemData" : { "DOI" : "10.1016/S2214-109X(16)30099-7", "ISBN" : "2214-109x", "ISSN" : "2214109X", "PMID" : "27340003", "abstract" : "Background: Since 2006, many countries have implemented publicly funded human papillomavirus (HPV) immunisation programmes. However, global estimates of the extent and impact of vaccine coverage are still unavailable. We aimed to quantify worldwide cumulative coverage of publicly funded HPV immunisation programmes up to 2014, and the potential impact on future cervical cancer cases and deaths. Methods: Between Nov 1 and Dec 22, 2014, we systematically reviewed PubMed, Scopus, and official websites to identify HPV immunisation programmes worldwide, and retrieved age-specific HPV vaccination coverage rates up to October, 2014. To estimate the coverage and number of vaccinated women, retrieved coverage rates were converted into birth-cohort-specific rates, with an imputation algorithm to impute missing data, and applied to global population estimates and cervical cancer projections by country and income level. Findings: From June, 2006, to October, 2014, 64 countries nationally, four countries subnationally, and 12 overseas territories had implemented HPV immunisation programmes. An estimated 118 million women had been targeted through these programmes, but only 1% were from low-income or lower-middle-income countries. 47 million women (95% CI 39-55 million) received the full course of vaccine, representing a total population coverage of 1\u00b74% (95% CI 1\u00b71-1\u00b76), and 59 million women (48-71 million) had received at least one dose, representing a total population coverage of 1\u00b77% (1\u00b74-2\u00b71). In more developed regions, 33\u00b76% (95% CI 25\u00b79-41\u00b77) of females aged 10-20 years received the full course of vaccine, compared with only 2\u00b77% (1\u00b78-3\u00b76) of females in less developed regions. The impact of the vaccine will be higher in upper-middle-income countries (178 192 averted cases by age 75 years) than in high-income countries (165 033 averted cases), despite the lower number of vaccinated women (13\u00b73 million vs 32\u00b72 million). Interpretation: Many women from high-income and upper-middle-income countries have been vaccinated against HPV. However, populations with the highest incidence and mortality of disease remain largely unprotected. Rapid roll-out of the vaccine in low-income and middle-income countries might be the only feasible way to narrow present inequalities in cervical cancer burden and prevention. Funding: PATH, Instituto de Salud Carlos III, and Ag\u00e8ncia de Gesti\u00f3 d'Ajuts Universitaris i de Recerca (AGAUR).", "author" : [ { "dropping-particle" : "", "family" : "Bruni", "given" : "Laia", "non-dropping-particle" : "", "parse-names" : false, "suffix" : "" }, { "dropping-particle" : "", "family" : "Diaz", "given" : "Mireia", "non-dropping-particle" : "", "parse-names" : false, "suffix" : "" }, { "dropping-particle" : "", "family" : "Barrionuevo-Rosas", "given" : "Leslie", "non-dropping-particle" : "", "parse-names" : false, "suffix" : "" }, { "dropping-particle" : "", "family" : "Herrero", "given" : "Rolando", "non-dropping-particle" : "", "parse-names" : false, "suffix" : "" }, { "dropping-particle" : "", "family" : "Bray", "given" : "Freddie", "non-dropping-particle" : "", "parse-names" : false, "suffix" : "" }, { "dropping-particle" : "", "family" : "Bosch", "given" : "F. Xavier", "non-dropping-particle" : "", "parse-names" : false, "suffix" : "" }, { "dropping-particle" : "", "family" : "Sanjos\u00e9", "given" : "Silvia", "non-dropping-particle" : "de", "parse-names" : false, "suffix" : "" }, { "dropping-particle" : "", "family" : "Castellsagu\u00e9", "given" : "Xavier", "non-dropping-particle" : "", "parse-names" : false, "suffix" : "" } ], "container-title" : "The Lancet Global Health", "id" : "ITEM-1", "issue" : "7", "issued" : { "date-parts" : [ [ "2016" ] ] }, "page" : "e453-e463", "title" : "Global estimates of human papillomavirus vaccination coverage by region and income level: A pooled analysis", "type" : "article-journal", "volume" : "4" }, "uris" : [ "http://www.mendeley.com/documents/?uuid=e1f57354-1a49-448c-b63b-70f2435ebfe1" ] }, { "id" : "ITEM-2", "itemData" : { "DOI" : "10.1002/ijgo.12186", "ISSN" : "18793479", "PMID" : "28691329", "abstract" : "The past 10 years have seen remarkable progress in the global scale-up of human papillomavirus (HPV) vaccinations. Forty-three low-and lower-middle-income countries (LLMICs) have gained experience in delivering this vaccine to young adolescent girls through pilot programs, demonstration programs, and national introductions and most of these have occurred in the last 4 years. The experience of Senegal is summarized as an illustrative country case study. Publication of numerous delivery experiences and lessons learned has demonstrated the acceptability and feasibility of HPV vaccinations in LLMICs. Four areas require dedicated action to overcome remaining challenges to national scaling-up: maintaining momentum politically, planning successfully, securing financing, and fostering sustainability. Advances in policy, programming, and science may help accelerate reaching 30 million girls in LLMICs with HPV vaccine by 2020.", "author" : [ { "dropping-particle" : "", "family" : "LaMontagne", "given" : "D. Scott", "non-dropping-particle" : "", "parse-names" : false, "suffix" : "" }, { "dropping-particle" : "", "family" : "Bloem", "given" : "Paul J.N.", "non-dropping-particle" : "", "parse-names" : false, "suffix" : "" }, { "dropping-particle" : "", "family" : "Brotherton", "given" : "Julia M.L.", "non-dropping-particle" : "", "parse-names" : false, "suffix" : "" }, { "dropping-particle" : "", "family" : "Gallagher", "given" : "Katherine E.", "non-dropping-particle" : "", "parse-names" : false, "suffix" : "" }, { "dropping-particle" : "", "family" : "Badiane", "given" : "Ousseynou", "non-dropping-particle" : "", "parse-names" : false, "suffix" : "" }, { "dropping-particle" : "", "family" : "Ndiaye", "given" : "Cathy", "non-dropping-particle" : "", "parse-names" : false, "suffix" : "" } ], "container-title" : "International Journal of Gynecology and Obstetrics", "id" : "ITEM-2", "issued" : { "date-parts" : [ [ "2017" ] ] }, "page" : "7-14", "title" : "Progress in HPV vaccination in low- and lower-middle-income countries", "type" : "article-journal", "volume" : "138" }, "uris" : [ "http://www.mendeley.com/documents/?uuid=a51d71d3-c2af-42f2-8a7a-3b9e0a22002a" ] } ], "mendeley" : { "formattedCitation" : "[6,7]", "plainTextFormattedCitation" : "[6,7]", "previouslyFormattedCitation" : "[6,7]" }, "properties" : {  }, "schema" : "https://github.com/citation-style-language/schema/raw/master/csl-citation.json" }</w:instrText>
      </w:r>
      <w:r>
        <w:fldChar w:fldCharType="separate"/>
      </w:r>
      <w:bookmarkStart w:id="314" w:name="__Fieldmark__8462_513475976"/>
      <w:r>
        <w:rPr>
          <w:rFonts w:cs="Times New Roman" w:ascii="Times New Roman" w:hAnsi="Times New Roman"/>
        </w:rPr>
        <w:t>[</w:t>
      </w:r>
      <w:bookmarkStart w:id="315" w:name="__Fieldmark__12099_903549581"/>
      <w:r>
        <w:rPr>
          <w:rFonts w:cs="Times New Roman" w:ascii="Times New Roman" w:hAnsi="Times New Roman"/>
        </w:rPr>
        <w:t>6,7]</w:t>
      </w:r>
      <w:r>
        <w:rPr>
          <w:rFonts w:cs="Times New Roman" w:ascii="Times New Roman" w:hAnsi="Times New Roman"/>
        </w:rPr>
      </w:r>
      <w:r>
        <w:fldChar w:fldCharType="end"/>
      </w:r>
      <w:bookmarkEnd w:id="314"/>
      <w:bookmarkEnd w:id="315"/>
      <w:r>
        <w:rPr>
          <w:rFonts w:cs="Times New Roman" w:ascii="Times New Roman" w:hAnsi="Times New Roman"/>
        </w:rPr>
        <w:t xml:space="preserve">. It was only after the agreement between the GAVI Vaccine Alliance (formerly known as the Global Alliance for Vaccination and Immunisation) and manufacturers, which led to reduction in the vaccines’ price to 5 US$ per dose </w:t>
      </w:r>
      <w:r>
        <w:fldChar w:fldCharType="begin"/>
      </w:r>
      <w:r>
        <w:instrText>ADDIN CSL_CITATION { "citationItems" : [ { "id" : "ITEM-1", "itemData" : { "URL" : "https://www.unicef.org/supply/files/HPV_.pdf", "accessed" : { "date-parts" : [ [ "2018", "1", "29" ] ] }, "author" : [ { "dropping-particle" : "", "family" : "UNICEF", "given" : "", "non-dropping-particle" : "", "parse-names" : false, "suffix" : "" } ], "id" : "ITEM-1", "issued" : { "date-parts" : [ [ "2017" ] ] }, "title" : "Vaccine price data", "type" : "webpage" }, "uris" : [ "http://www.mendeley.com/documents/?uuid=3baa646a-03c3-460f-b45c-86c61033a626" ] } ], "mendeley" : { "formattedCitation" : "[8]", "plainTextFormattedCitation" : "[8]", "previouslyFormattedCitation" : "[8]" }, "properties" : {  }, "schema" : "https://github.com/citation-style-language/schema/raw/master/csl-citation.json" }</w:instrText>
      </w:r>
      <w:r>
        <w:fldChar w:fldCharType="separate"/>
      </w:r>
      <w:bookmarkStart w:id="316" w:name="__Fieldmark__8469_513475976"/>
      <w:r>
        <w:rPr>
          <w:rFonts w:cs="Times New Roman" w:ascii="Times New Roman" w:hAnsi="Times New Roman"/>
        </w:rPr>
        <w:t>[</w:t>
      </w:r>
      <w:bookmarkStart w:id="317" w:name="__Fieldmark__12104_903549581"/>
      <w:r>
        <w:rPr>
          <w:rFonts w:cs="Times New Roman" w:ascii="Times New Roman" w:hAnsi="Times New Roman"/>
        </w:rPr>
        <w:t>8]</w:t>
      </w:r>
      <w:r>
        <w:rPr>
          <w:rFonts w:cs="Times New Roman" w:ascii="Times New Roman" w:hAnsi="Times New Roman"/>
        </w:rPr>
      </w:r>
      <w:r>
        <w:fldChar w:fldCharType="end"/>
      </w:r>
      <w:bookmarkEnd w:id="316"/>
      <w:bookmarkEnd w:id="317"/>
      <w:r>
        <w:rPr>
          <w:rFonts w:cs="Times New Roman" w:ascii="Times New Roman" w:hAnsi="Times New Roman"/>
        </w:rPr>
        <w:t xml:space="preserve">, that GAVI, national governments and other international organisations supported HPV vaccination programmes in LMICs with a yearly gross national income (GNI) per capita below or equal to 1,580 US$ </w:t>
      </w:r>
      <w:r>
        <w:fldChar w:fldCharType="begin"/>
      </w:r>
      <w:r>
        <w:instrText>ADDIN CSL_CITATION { "citationItems" : [ { "id" : "ITEM-1", "itemData" : { "DOI" : "10.3390/vaccines3020408", "ISBN" : "2076-393X", "ISSN" : "2076-393X", "PMID" : "2015117772", "abstract" : "Developing countries disproportionately suffer from the burden of cervical cancer yet lack the resources to establish systematic screening programs that have resulted in significant reductions in morbidity and mortality in developed countries. Human Papillomavirus (HPV) vaccination provides an opportunity for primary prevention of cervical cancer in \\r\\nlow-resource settings through vaccine provision by Gavi The Vaccine Alliance. In addition to the traditional national introduction, countries can apply for a demonstration program to help them make informed decisions for subsequent national introduction. This article summarizes information from approved Gavi HPV demonstration program proposals and preliminary implementation findings. After two rounds of applications, 23 countries have been approved targeting approximately 400,000 girls for vaccination. All countries are proposing primarily school-based strategies with mixed strategies to locate and vaccinate girls not enrolled in school. Experiences to date include: Reaching marginalized girls has been challenging; Strong coordination with the education sector is key and overall acceptance has been high. Initial coverage reports are encouraging but will have to be confirmed in population based coverage surveys that will take place later this year. Experiences from these countries are consistent with existing literature describing other HPV vaccine pilots in low-income settings.", "author" : [ { "dropping-particle" : "", "family" : "Hanson", "given" : "Celina", "non-dropping-particle" : "", "parse-names" : false, "suffix" : "" }, { "dropping-particle" : "", "family" : "Eckert", "given" : "Linda", "non-dropping-particle" : "", "parse-names" : false, "suffix" : "" }, { "dropping-particle" : "", "family" : "Bloem", "given" : "Paul", "non-dropping-particle" : "", "parse-names" : false, "suffix" : "" }, { "dropping-particle" : "", "family" : "Cernuschi", "given" : "Tania", "non-dropping-particle" : "", "parse-names" : false, "suffix" : "" } ], "container-title" : "Vaccines", "id" : "ITEM-1", "issue" : "2", "issued" : { "date-parts" : [ [ "2015" ] ] }, "page" : "408-419", "title" : "Gavi HPV Programs: Application to Implementation", "type" : "article-journal", "volume" : "3" }, "uris" : [ "http://www.mendeley.com/documents/?uuid=af90ff01-0cdc-4b53-a702-f07656bc209a" ] }, { "id" : "ITEM-2", "itemData" : { "DOI" : "10.22034/APJCP.2017.18.9.2339", "ISSN" : "2476-762X (Electronic)", "PMID" : "28950675", "abstract" : "Cervical cancer is ranked the first or second most common cancer in women of low- and middle-income countries (LMICs) in Asia. Cervical cancer is almost exclusively caused by human papillomavirus (HPV), and majority of the cases can be prevented with the use of HPV vaccines. The HPV vaccines have demonstrated high vaccine efficacies against HPV infection and cervical cancer precursors in clinical and post-marketing studies, and are in use in most high-income countries. However, their use in LMICs are limited mainly due to the high costs and logistics in delivering multiple doses of the vaccine. Other issues such as the safety of the vaccines, social and cultural factors, as well as poor knowledge and awareness of the virus have also contributed to the low uptake of the vaccine. This mini-review focuses on the need for HPV vaccine implementation in Asia given the substantial disease burden and underuse of HPV vaccines in LMICs in this region. In addition, the progress towards HPV vaccine introduction, and barriers preventing further rollout of these essential, life-saving vaccines are also discussed in this article.", "author" : [ { "dropping-particle" : "", "family" : "Toh", "given" : "Zheng Quan", "non-dropping-particle" : "", "parse-names" : false, "suffix" : "" }, { "dropping-particle" : "V", "family" : "Licciardi", "given" : "Paul", "non-dropping-particle" : "", "parse-names" : false, "suffix" : "" }, { "dropping-particle" : "", "family" : "Russell", "given" : "Fiona M", "non-dropping-particle" : "", "parse-names" : false, "suffix" : "" }, { "dropping-particle" : "", "family" : "Garland", "given" : "Suzanne M", "non-dropping-particle" : "", "parse-names" : false, "suffix" : "" }, { "dropping-particle" : "", "family" : "Batmunkh", "given" : "Tsetsegsaikhan", "non-dropping-particle" : "", "parse-names" : false, "suffix" : "" }, { "dropping-particle" : "", "family" : "Mulholland", "given" : "Edward K", "non-dropping-particle" : "", "parse-names" : false, "suffix" : "" } ], "container-title" : "Asian Pacific journal of cancer prevention : APJCP", "id" : "ITEM-2", "issue" : "9", "issued" : { "date-parts" : [ [ "2017" ] ] }, "page" : "2339-2343", "title" : "Cervical Cancer Prevention Through HPV Vaccination in Low- and Middle-Income Countries in Asia", "type" : "article-journal", "volume" : "18" }, "uris" : [ "http://www.mendeley.com/documents/?uuid=c9ef949f-2f48-4c2d-908b-c5774dc706fc" ] } ], "mendeley" : { "formattedCitation" : "[9,10]", "plainTextFormattedCitation" : "[9,10]", "previouslyFormattedCitation" : "[9,10]" }, "properties" : {  }, "schema" : "https://github.com/citation-style-language/schema/raw/master/csl-citation.json" }</w:instrText>
      </w:r>
      <w:r>
        <w:fldChar w:fldCharType="separate"/>
      </w:r>
      <w:bookmarkStart w:id="318" w:name="__Fieldmark__8476_513475976"/>
      <w:r>
        <w:rPr>
          <w:rFonts w:cs="Times New Roman" w:ascii="Times New Roman" w:hAnsi="Times New Roman"/>
        </w:rPr>
        <w:t>[</w:t>
      </w:r>
      <w:bookmarkStart w:id="319" w:name="__Fieldmark__12109_903549581"/>
      <w:r>
        <w:rPr>
          <w:rFonts w:cs="Times New Roman" w:ascii="Times New Roman" w:hAnsi="Times New Roman"/>
        </w:rPr>
        <w:t>9,10]</w:t>
      </w:r>
      <w:r>
        <w:rPr>
          <w:rFonts w:cs="Times New Roman" w:ascii="Times New Roman" w:hAnsi="Times New Roman"/>
        </w:rPr>
      </w:r>
      <w:r>
        <w:fldChar w:fldCharType="end"/>
      </w:r>
      <w:bookmarkEnd w:id="318"/>
      <w:bookmarkEnd w:id="319"/>
      <w:r>
        <w:rPr>
          <w:rFonts w:cs="Times New Roman" w:ascii="Times New Roman" w:hAnsi="Times New Roman"/>
        </w:rPr>
        <w:t>.</w:t>
      </w:r>
    </w:p>
    <w:p>
      <w:pPr>
        <w:pStyle w:val="Normal"/>
        <w:spacing w:lineRule="auto" w:line="480"/>
        <w:rPr/>
      </w:pPr>
      <w:r>
        <w:rPr>
          <w:rFonts w:cs="Times New Roman" w:ascii="Times New Roman" w:hAnsi="Times New Roman"/>
        </w:rPr>
        <w:t xml:space="preserve">In Sub-Saharan Africa, some preliminary estimates suggest that, under the assumption of high coverage and lifelong protection, the introduction of the vaccine is expected to result in high health gains in terms of both number of cancer cases and disability-adjusted life years (DALYs) averted </w:t>
      </w:r>
      <w:r>
        <w:fldChar w:fldCharType="begin"/>
      </w:r>
      <w:r>
        <w:instrText>ADDIN CSL_CITATION { "citationItems" : [ { "id" : "ITEM-1", "itemData" : { "DOI" : "10.1016/j.vaccine.2012.07.093", "ISBN" : "0264-410X; 1873-2518", "ISSN" : "0264410X", "PMID" : "24331749", "abstract" : "Using population and epidemiologic data for 48 countries in sub-Saharan Africa, we used a model-based approach to estimate cervical cancer cases and deaths averted, disability-adjusted life years (DALYs) averted and incremental cost-effectiveness ratios (I$ (international dollar) per DALY averted) for human papillomavirus (HPV) vaccination of pre-adolescent girls. Additional epidemiologic data from Uganda and South Africa informed estimates of cancer risk reduction and cost-effectiveness ratios associated with pre-adolescent female vaccination followed by screening of women over age 30. Assuming 70% vaccination coverage, over 670,000 cervical cancer cases would be prevented among women in five consecutive birth cohorts vaccinated as young adolescents; over 90% of cases averted were projected to occur in countries eligible for GAVI Alliance support. There were large variations in health benefits across countries attributable to differential cancer rates, population size, and population age structure. More than half of DALYs averted in sub-Saharan Africa were in Nigeria, Tanzania, Uganda, the Democratic Republic of the Congo, Ethiopia, and Mozambique. When the cost per vaccinated girl was I$5 ($0.55 per dose), HPV vaccination was cost-saving in 38 sub-Saharan African countries, and cost I$300 per DALY averted or less in the remaining countries. At this vaccine price, pre-adolescent HPV vaccination followed by screening three times per lifetime in adulthood cost I$300 per year of life saved (YLS) in Uganda (per capita GDP I$1,140) and I$1,000 per YLS in South Africa (per capita GDP I$9,480). In nearly all countries assessed, HPV vaccination of pre-adolescent girls could be very cost-effective if the cost per vaccinated girl is less than I$25-I$50, reflecting a vaccine price being offered to the GAVI Alliance. In-country decision makers will need to consider many other factors, such as affordability, acceptability, feasibility, and competing health priorities, when making decisions about cervical cancer prevention.This article forms part of a regional report entitled \". Comprehensive Control of HPV Infections and Related Diseases in the Sub-Saharan Africa Region\" Vaccine Volume 31, Supplement 5, 2013. Updates of the progress in the field are presented in a separate monograph entitled \". Comprehensive Control of HPV Infections and Related Diseases\" Vaccine Volume 30, Supplement 5, 2012. \u00a9 2013 Elsevier Ltd.", "author" : [ { "dropping-particle" : "", "family" : "Kim", "given" : "Jane J.", "non-dropping-particle" : "", "parse-names" : false, "suffix" : "" }, { "dropping-particle" : "", "family" : "Campos", "given" : "Nicole G.", "non-dropping-particle" : "", "parse-names" : false, "suffix" : "" }, { "dropping-particle" : "", "family" : "O'Shea", "given" : "Meredith", "non-dropping-particle" : "", "parse-names" : false, "suffix" : "" }, { "dropping-particle" : "", "family" : "Diaz", "given" : "Mireia", "non-dropping-particle" : "", "parse-names" : false, "suffix" : "" }, { "dropping-particle" : "", "family" : "Mutyaba", "given" : "Innocent", "non-dropping-particle" : "", "parse-names" : false, "suffix" : "" } ], "container-title" : "Vaccine", "id" : "ITEM-1", "issue" : "S5", "issued" : { "date-parts" : [ [ "2013" ] ] }, "page" : "F60-F72", "publisher" : "Elsevier Ltd", "title" : "Model-based impact and cost-effectiveness of cervical cancer prevention in sub-saharan Africa", "type" : "article-journal", "volume" : "31" }, "uris" : [ "http://www.mendeley.com/documents/?uuid=2a389216-edde-41ed-88c3-e19173894d5a" ] } ], "mendeley" : { "formattedCitation" : "[11]", "plainTextFormattedCitation" : "[11]", "previouslyFormattedCitation" : "[11]" }, "properties" : {  }, "schema" : "https://github.com/citation-style-language/schema/raw/master/csl-citation.json" }</w:instrText>
      </w:r>
      <w:r>
        <w:fldChar w:fldCharType="separate"/>
      </w:r>
      <w:bookmarkStart w:id="320" w:name="__Fieldmark__8485_513475976"/>
      <w:r>
        <w:rPr>
          <w:rFonts w:cs="Times New Roman" w:ascii="Times New Roman" w:hAnsi="Times New Roman"/>
        </w:rPr>
        <w:t>[</w:t>
      </w:r>
      <w:bookmarkStart w:id="321" w:name="__Fieldmark__12116_903549581"/>
      <w:r>
        <w:rPr>
          <w:rFonts w:cs="Times New Roman" w:ascii="Times New Roman" w:hAnsi="Times New Roman"/>
        </w:rPr>
        <w:t>11]</w:t>
      </w:r>
      <w:r>
        <w:rPr>
          <w:rFonts w:cs="Times New Roman" w:ascii="Times New Roman" w:hAnsi="Times New Roman"/>
        </w:rPr>
      </w:r>
      <w:r>
        <w:fldChar w:fldCharType="end"/>
      </w:r>
      <w:bookmarkEnd w:id="320"/>
      <w:bookmarkEnd w:id="321"/>
      <w:r>
        <w:rPr>
          <w:rFonts w:cs="Times New Roman" w:ascii="Times New Roman" w:hAnsi="Times New Roman"/>
        </w:rPr>
        <w:t xml:space="preserve">. However, even after a high vaccine price reduction, one of the key issues associated with HPV vaccination is the cost involved in vaccine delivery and administration, particularly in rural and remote areas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322" w:name="__Fieldmark__8492_513475976"/>
      <w:r>
        <w:rPr>
          <w:rFonts w:cs="Times New Roman" w:ascii="Times New Roman" w:hAnsi="Times New Roman"/>
        </w:rPr>
        <w:t>[</w:t>
      </w:r>
      <w:bookmarkStart w:id="323" w:name="__Fieldmark__12122_903549581"/>
      <w:r>
        <w:rPr>
          <w:rFonts w:cs="Times New Roman" w:ascii="Times New Roman" w:hAnsi="Times New Roman"/>
        </w:rPr>
        <w:t>12]</w:t>
      </w:r>
      <w:r>
        <w:rPr>
          <w:rFonts w:cs="Times New Roman" w:ascii="Times New Roman" w:hAnsi="Times New Roman"/>
        </w:rPr>
      </w:r>
      <w:r>
        <w:fldChar w:fldCharType="end"/>
      </w:r>
      <w:bookmarkEnd w:id="322"/>
      <w:bookmarkEnd w:id="323"/>
      <w:r>
        <w:rPr>
          <w:rFonts w:cs="Times New Roman" w:ascii="Times New Roman" w:hAnsi="Times New Roman"/>
        </w:rPr>
        <w:t xml:space="preserve">. Despite the efforts made, the unsubsidised cost of HPV vaccination is still higher than the majority of vaccines. Moreover, its delivery is challenging as the target group for HPV vaccination (girls between 9 and 13 years of age) </w:t>
      </w:r>
      <w:r>
        <w:fldChar w:fldCharType="begin"/>
      </w:r>
      <w:r>
        <w:instrText>ADDIN CSL_CITATION { "citationItems" : [ { "id" : "ITEM-1", "itemData" : { "ISBN" : "978 92 4 154895 3", "ISSN" : "978 92 4 154895 3", "abstract" : "This publication, Comprehensive cervical cancer control: a guide to essential practice (C4GEP), gives a broad vision of what a comprehensive approach to cervical cancer prevention and control means. In particular, it outlines the complementary strategies for comprehensive cervical cancer prevention and control, and highlights the need for collaboration across programmes, organizations and partners. This new guide updates the 2006 edition and includes the recent promising developments in technologies and strategies that can address the gaps between the needs for and availability of services for cervical cancer prevention and control.", "author" : [ { "dropping-particle" : "", "family" : "World Health Organization", "given" : "", "non-dropping-particle" : "", "parse-names" : false, "suffix" : "" } ], "container-title" : "WHO Library Cataloguing-in-Publication Data", "id" : "ITEM-1", "issued" : { "date-parts" : [ [ "2014" ] ] }, "page" : "364", "title" : "Comprehensive Cervical Cancer Control", "type" : "article-journal" }, "uris" : [ "http://www.mendeley.com/documents/?uuid=92194983-f190-402a-b756-23db5b3f2f6b" ] } ], "mendeley" : { "formattedCitation" : "[5]", "plainTextFormattedCitation" : "[5]", "previouslyFormattedCitation" : "[5]" }, "properties" : {  }, "schema" : "https://github.com/citation-style-language/schema/raw/master/csl-citation.json" }</w:instrText>
      </w:r>
      <w:r>
        <w:fldChar w:fldCharType="separate"/>
      </w:r>
      <w:bookmarkStart w:id="324" w:name="__Fieldmark__8499_513475976"/>
      <w:r>
        <w:rPr>
          <w:rFonts w:cs="Times New Roman" w:ascii="Times New Roman" w:hAnsi="Times New Roman"/>
        </w:rPr>
        <w:t>[</w:t>
      </w:r>
      <w:bookmarkStart w:id="325" w:name="__Fieldmark__12127_903549581"/>
      <w:r>
        <w:rPr>
          <w:rFonts w:cs="Times New Roman" w:ascii="Times New Roman" w:hAnsi="Times New Roman"/>
        </w:rPr>
        <w:t>5]</w:t>
      </w:r>
      <w:r>
        <w:rPr>
          <w:rFonts w:cs="Times New Roman" w:ascii="Times New Roman" w:hAnsi="Times New Roman"/>
        </w:rPr>
      </w:r>
      <w:r>
        <w:fldChar w:fldCharType="end"/>
      </w:r>
      <w:bookmarkEnd w:id="324"/>
      <w:bookmarkEnd w:id="325"/>
      <w:r>
        <w:rPr>
          <w:rFonts w:cs="Times New Roman" w:ascii="Times New Roman" w:hAnsi="Times New Roman"/>
        </w:rPr>
        <w:t xml:space="preserve"> differs markedly from the routine expanded programme on immunisation (EPI), which targets infants and young children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26" w:name="__Fieldmark__8506_513475976"/>
      <w:r>
        <w:rPr>
          <w:rFonts w:cs="Times New Roman" w:ascii="Times New Roman" w:hAnsi="Times New Roman"/>
        </w:rPr>
        <w:t>[</w:t>
      </w:r>
      <w:bookmarkStart w:id="327" w:name="__Fieldmark__12132_903549581"/>
      <w:r>
        <w:rPr>
          <w:rFonts w:cs="Times New Roman" w:ascii="Times New Roman" w:hAnsi="Times New Roman"/>
        </w:rPr>
        <w:t>13]</w:t>
      </w:r>
      <w:r>
        <w:rPr>
          <w:rFonts w:cs="Times New Roman" w:ascii="Times New Roman" w:hAnsi="Times New Roman"/>
        </w:rPr>
      </w:r>
      <w:r>
        <w:fldChar w:fldCharType="end"/>
      </w:r>
      <w:bookmarkEnd w:id="326"/>
      <w:bookmarkEnd w:id="327"/>
      <w:r>
        <w:rPr>
          <w:rFonts w:cs="Times New Roman" w:ascii="Times New Roman" w:hAnsi="Times New Roman"/>
        </w:rPr>
        <w:t>.</w:t>
      </w:r>
    </w:p>
    <w:p>
      <w:pPr>
        <w:pStyle w:val="Normal"/>
        <w:spacing w:lineRule="auto" w:line="480"/>
        <w:rPr/>
      </w:pPr>
      <w:r>
        <w:rPr>
          <w:rFonts w:cs="Times New Roman" w:ascii="Times New Roman" w:hAnsi="Times New Roman"/>
        </w:rPr>
        <w:t xml:space="preserve">The challenge </w:t>
      </w:r>
      <w:ins w:id="195" w:author="Unknown Author" w:date="2018-04-12T11:31:00Z">
        <w:r>
          <w:rPr>
            <w:rFonts w:cs="Times New Roman" w:ascii="Times New Roman" w:hAnsi="Times New Roman"/>
          </w:rPr>
          <w:t>of reaching</w:t>
        </w:r>
      </w:ins>
      <w:del w:id="196" w:author="Unknown Author" w:date="2018-04-12T11:31:00Z">
        <w:r>
          <w:rPr>
            <w:rFonts w:cs="Times New Roman" w:ascii="Times New Roman" w:hAnsi="Times New Roman"/>
          </w:rPr>
          <w:delText>to reach</w:delText>
        </w:r>
      </w:del>
      <w:r>
        <w:rPr>
          <w:rFonts w:cs="Times New Roman" w:ascii="Times New Roman" w:hAnsi="Times New Roman"/>
        </w:rPr>
        <w:t xml:space="preserve"> the HPV vaccination target group is the absence of an entry point at health facility level, calling for the need to reach the girls outside the health system </w:t>
      </w:r>
      <w:r>
        <w:rPr>
          <w:rFonts w:cs="Times New Roman" w:ascii="Times New Roman" w:hAnsi="Times New Roman"/>
          <w:i/>
        </w:rPr>
        <w:t>stricto sensu</w:t>
      </w:r>
      <w:r>
        <w:rPr>
          <w:rFonts w:cs="Times New Roman" w:ascii="Times New Roman" w:hAnsi="Times New Roman"/>
        </w:rPr>
        <w:t xml:space="preserve">. Vaccination at schools has been suggested as an effective strategy to maximise both vaccine coverage </w:t>
      </w:r>
      <w:r>
        <w:fldChar w:fldCharType="begin"/>
      </w:r>
      <w:r>
        <w:instrText>ADDIN CSL_CITATION { "citationItems" : [ { "id" : "ITEM-1", "itemData" : { "DOI" : "10.1016/j.pvr.2017.09.001", "ISSN" : "24058521", "abstract" : "Introduction Since 2007, HPV vaccine has been available to low and middle income countries (LAMIC) for small-scale \u2018demonstration projects\u2019 or national programmes. We analysed coverage achieved in HPV vaccine demonstration projects and national programmes that had completed at least 6 months of implementation between January 2007\u20132016. Methods A mapping exercise identified 45 LAMICs with HPV vaccine delivery experience. Estimates of coverage and factors influencing coverage were obtained from 56 key informant interviews, a systematic published literature search of 5 databases that identified 61 relevant full texts and 188 solicited unpublished documents, including coverage surveys. Coverage achievements were analysed descriptively against country or project/programme characteristics. Heterogeneity in data, funder requirements, and project/programme design precluded multivariate analysis. Results Estimates of uptake, schedule completion rates and/or final dose coverage were available from 41 of 45 LAMICs included in the study. Only 17 estimates from 13 countries were from coverage surveys, most were administrative data. Final dose coverage estimates were all over 50% with most between 70% and 90%, and showed no trend over time. The majority of delivery strategies included schools as a vaccination venue. In countries with school enrolment rates below 90%, inclusion of strategies to reach out-of-school girls contributed to obtaining high coverage compared to school-only strategies. There was no correlation between final dose coverage and estimated recurrent financial costs of delivery from cost analyses. Coverage achieved during joint delivery of HPV vaccine combined with another intervention was variable with little/no evaluation of the correlates of success. Conclusions This is the most comprehensive descriptive analysis of HPV vaccine coverage in LAMICs to date. It is possible to deliver HPV vaccine with excellent coverage in LAMICs. Further good quality data are needed from health facility based delivery strategies and national programmes to aid policymakers to effectively and sustainably scale-up HPV vaccination.", "author" : [ { "dropping-particle" : "", "family" : "Gallagher", "given" : "Katherine E.", "non-dropping-particle" : "", "parse-names" : false, "suffix" : "" }, { "dropping-particle" : "", "family" : "Howard", "given" : "Natasha", "non-dropping-particle" : "", "parse-names" : false, "suffix" : "" }, { "dropping-particle" : "", "family" : "Kabakama", "given" : "Severin", "non-dropping-particle" : "", "parse-names" : false, "suffix" : "" }, { "dropping-particle" : "", "family" : "Mounier-Jack", "given" : "Sandra", "non-dropping-particle" : "", "parse-names" : false, "suffix" : "" }, { "dropping-particle" : "", "family" : "Burchett", "given" : "Helen E.D.", "non-dropping-particle" : "", "parse-names" : false, "suffix" : "" }, { "dropping-particle" : "", "family" : "LaMontagne", "given" : "D. Scott", "non-dropping-particle" : "", "parse-names" : false, "suffix" : "" }, { "dropping-particle" : "", "family" : "Watson-Jones", "given" : "Deborah", "non-dropping-particle" : "", "parse-names" : false, "suffix" : "" } ], "container-title" : "Papillomavirus Research", "id" : "ITEM-1", "issue" : "October", "issued" : { "date-parts" : [ [ "2017" ] ] }, "page" : "72-78", "publisher" : "Elsevier B.V.", "title" : "Human papillomavirus (HPV) vaccine coverage achievements in low and middle-income countries 2007\u20132016", "type" : "article-journal", "volume" : "4" }, "uris" : [ "http://www.mendeley.com/documents/?uuid=c18248e0-947d-4f64-be06-3e711ce39532" ] } ], "mendeley" : { "formattedCitation" : "[14]", "plainTextFormattedCitation" : "[14]", "previouslyFormattedCitation" : "[14]" }, "properties" : {  }, "schema" : "https://github.com/citation-style-language/schema/raw/master/csl-citation.json" }</w:instrText>
      </w:r>
      <w:r>
        <w:fldChar w:fldCharType="separate"/>
      </w:r>
      <w:bookmarkStart w:id="328" w:name="__Fieldmark__8517_513475976"/>
      <w:r>
        <w:rPr>
          <w:rFonts w:cs="Times New Roman" w:ascii="Times New Roman" w:hAnsi="Times New Roman"/>
        </w:rPr>
        <w:t>[</w:t>
      </w:r>
      <w:bookmarkStart w:id="329" w:name="__Fieldmark__12141_903549581"/>
      <w:r>
        <w:rPr>
          <w:rFonts w:cs="Times New Roman" w:ascii="Times New Roman" w:hAnsi="Times New Roman"/>
        </w:rPr>
        <w:t>14]</w:t>
      </w:r>
      <w:r>
        <w:rPr>
          <w:rFonts w:cs="Times New Roman" w:ascii="Times New Roman" w:hAnsi="Times New Roman"/>
        </w:rPr>
      </w:r>
      <w:r>
        <w:fldChar w:fldCharType="end"/>
      </w:r>
      <w:bookmarkEnd w:id="328"/>
      <w:bookmarkEnd w:id="329"/>
      <w:r>
        <w:rPr>
          <w:rFonts w:cs="Times New Roman" w:ascii="Times New Roman" w:hAnsi="Times New Roman"/>
        </w:rPr>
        <w:t xml:space="preserve"> and the number of fully-immunised girls (FIG) </w:t>
      </w:r>
      <w:r>
        <w:fldChar w:fldCharType="begin"/>
      </w:r>
      <w:r>
        <w:instrText>ADDIN CSL_CITATION { "citationItems" : [ { "id" : "ITEM-1", "itemData" : { "DOI" : "10.1371/journal.pone.0062647", "ISBN" : "1932-6203; 1932-6203", "ISSN" : "19326203", "PMID" : "23638130", "abstract" : "INTRODUCTION: The implementation of a public HPV vaccination program in several developing countries, especially in Latin America, is a great challenge for health care specialists.\\n\\nAIM: To evaluate the uptake and the three-dose completion rates of a school-based HPV vaccination program in Barretos (Brazil).\\n\\nMETHODS: THE STUDY INCLUDED GIRLS WHO WERE ENROLLED IN PUBLIC AND PRIVATE SCHOOLS AND WHO REGULARLY ATTENDED THE SIXTH AND SEVENTH GRADES OF ELEMENTARY SCHOOL (MEAN AGE: 11.9 years). A meeting with the parents or guardians occurred approximately one week before the vaccination in order to explain the project and clarify the doubts. The quadrivalent vaccine was administered using the same schedule as in the product package (0-2-6 months). The school visits for regular vaccination occurred on previously scheduled dates. The vaccine was also made available at Barretos Cancer Hospital for the girls who could not be vaccinated on the day when the team visited the school.\\n\\nRESULTS: Among the potential candidates for vaccination (n\u200a=\u200a1,574), the parents or guardians of 1,513 girls (96.1%) responded to the invitation to participate in the study. A total of 1,389 parents or guardians agreed to participate in the program (acceptance rate\u200a=\u200a91.8%). The main reason for refusing to participate in the vaccination program was fear of adverse events. The vaccine uptake rates for the first, second, and third doses were 87.5%, 86.3% and 85.0%, respectively. The three-dose completion rate was 97.2%.\\n\\nCONCLUSIONS: This demonstrative study achieved high rates of vaccination uptake and completion of three vaccine doses in children 10-16 years old from Brazil. The feasibility and success of an HPV vaccination program for adolescents in a developing country may depend on the integration between the public health and schooling systems.", "author" : [ { "dropping-particle" : "", "family" : "Fregnani", "given" : "Jos\u00e9 Humberto Tavares Guerreiro", "non-dropping-particle" : "", "parse-names" : false, "suffix" : "" }, { "dropping-particle" : "", "family" : "Carvalho", "given" : "Andr\u00e9 Lopes", "non-dropping-particle" : "", "parse-names" : false, "suffix" : "" }, { "dropping-particle" : "", "family" : "Eluf-Neto", "given" : "Jos\u00e9", "non-dropping-particle" : "", "parse-names" : false, "suffix" : "" }, { "dropping-particle" : "", "family" : "Ribeiro", "given" : "Karina de C\u00e1ssia Braga", "non-dropping-particle" : "", "parse-names" : false, "suffix" : "" }, { "dropping-particle" : "", "family" : "Kuil", "given" : "Larissa de Melo", "non-dropping-particle" : "", "parse-names" : false, "suffix" : "" }, { "dropping-particle" : "", "family" : "Silva", "given" : "Tauana Arcadepani", "non-dropping-particle" : "da", "parse-names" : false, "suffix" : "" }, { "dropping-particle" : "", "family" : "Rodrigues", "given" : "Silvia Lapola", "non-dropping-particle" : "", "parse-names" : false, "suffix" : "" }, { "dropping-particle" : "", "family" : "Mauad", "given" : "Edmundo Carvalho", "non-dropping-particle" : "", "parse-names" : false, "suffix" : "" }, { "dropping-particle" : "", "family" : "Longatto-Filho", "given" : "Adhemar", "non-dropping-particle" : "", "parse-names" : false, "suffix" : "" }, { "dropping-particle" : "", "family" : "Villa", "given" : "Luisa Lina", "non-dropping-particle" : "", "parse-names" : false, "suffix" : "" } ], "container-title" : "PLoS ONE", "id" : "ITEM-1", "issue" : "4", "issued" : { "date-parts" : [ [ "2013" ] ] }, "page" : "1-9", "title" : "A School-Based Human Papillomavirus Vaccination Program in Barretos, Brazil: Final Results of a Demonstrative Study", "type" : "article-journal", "volume" : "8" }, "uris" : [ "http://www.mendeley.com/documents/?uuid=5e8bcdb0-a83b-4c22-aa62-918ecc1da52c" ] } ], "mendeley" : { "formattedCitation" : "[15]", "plainTextFormattedCitation" : "[15]", "previouslyFormattedCitation" : "[15]" }, "properties" : {  }, "schema" : "https://github.com/citation-style-language/schema/raw/master/csl-citation.json" }</w:instrText>
      </w:r>
      <w:r>
        <w:fldChar w:fldCharType="separate"/>
      </w:r>
      <w:bookmarkStart w:id="330" w:name="__Fieldmark__8524_513475976"/>
      <w:r>
        <w:rPr>
          <w:rFonts w:cs="Times New Roman" w:ascii="Times New Roman" w:hAnsi="Times New Roman"/>
        </w:rPr>
        <w:t>[</w:t>
      </w:r>
      <w:bookmarkStart w:id="331" w:name="__Fieldmark__12146_903549581"/>
      <w:r>
        <w:rPr>
          <w:rFonts w:cs="Times New Roman" w:ascii="Times New Roman" w:hAnsi="Times New Roman"/>
        </w:rPr>
        <w:t>15]</w:t>
      </w:r>
      <w:r>
        <w:rPr>
          <w:rFonts w:cs="Times New Roman" w:ascii="Times New Roman" w:hAnsi="Times New Roman"/>
        </w:rPr>
      </w:r>
      <w:r>
        <w:fldChar w:fldCharType="end"/>
      </w:r>
      <w:bookmarkEnd w:id="330"/>
      <w:bookmarkEnd w:id="331"/>
      <w:r>
        <w:rPr>
          <w:rFonts w:cs="Times New Roman" w:ascii="Times New Roman" w:hAnsi="Times New Roman"/>
        </w:rPr>
        <w:t xml:space="preserve">. However, in LMICs some girls may be found absent from school on the vaccination scheduled days, implying the need for additional community strategies to maximise the reach </w:t>
      </w:r>
      <w:r>
        <w:fldChar w:fldCharType="begin"/>
      </w:r>
      <w:r>
        <w:instrText>ADDIN CSL_CITATION { "citationItems" : [ { "id" : "ITEM-1", "itemData" : { "DOI" : "10.1016/j.vaccine.2017.11.038", "ISSN" : "1873-2518", "PMID" : "29198915", "author" : [ { "dropping-particle" : "", "family" : "Bonner", "given" : "Kimberly", "non-dropping-particle" : "", "parse-names" : false, "suffix" : "" }, { "dropping-particle" : "", "family" : "Banura", "given" : "Cecily", "non-dropping-particle" : "", "parse-names" : false, "suffix" : "" }, { "dropping-particle" : "", "family" : "Basta", "given" : "Nicole E", "non-dropping-particle" : "", "parse-names" : false, "suffix" : "" } ], "container-title" : "Vaccine", "id" : "ITEM-1", "issue" : "2", "issued" : { "date-parts" : [ [ "2017" ] ] }, "page" : "191-193", "publisher" : "The Authors", "title" : "HPV vaccination strategies targeting hard-to-reach populations: Out-of-school girls in LMICs.", "type" : "article-journal", "volume" : "36" }, "uris" : [ "http://www.mendeley.com/documents/?uuid=afa5eb28-2142-4ff8-ace3-040288bf38e3" ] } ], "mendeley" : { "formattedCitation" : "[16]", "plainTextFormattedCitation" : "[16]", "previouslyFormattedCitation" : "[16]" }, "properties" : {  }, "schema" : "https://github.com/citation-style-language/schema/raw/master/csl-citation.json" }</w:instrText>
      </w:r>
      <w:r>
        <w:fldChar w:fldCharType="separate"/>
      </w:r>
      <w:bookmarkStart w:id="332" w:name="__Fieldmark__8531_513475976"/>
      <w:r>
        <w:rPr>
          <w:rFonts w:cs="Times New Roman" w:ascii="Times New Roman" w:hAnsi="Times New Roman"/>
        </w:rPr>
        <w:t>[</w:t>
      </w:r>
      <w:bookmarkStart w:id="333" w:name="__Fieldmark__12151_903549581"/>
      <w:r>
        <w:rPr>
          <w:rFonts w:cs="Times New Roman" w:ascii="Times New Roman" w:hAnsi="Times New Roman"/>
        </w:rPr>
        <w:t>16]</w:t>
      </w:r>
      <w:r>
        <w:rPr>
          <w:rFonts w:cs="Times New Roman" w:ascii="Times New Roman" w:hAnsi="Times New Roman"/>
        </w:rPr>
      </w:r>
      <w:r>
        <w:fldChar w:fldCharType="end"/>
      </w:r>
      <w:bookmarkEnd w:id="332"/>
      <w:bookmarkEnd w:id="333"/>
      <w:r>
        <w:rPr>
          <w:rFonts w:cs="Times New Roman" w:ascii="Times New Roman" w:hAnsi="Times New Roman"/>
        </w:rPr>
        <w:t xml:space="preserve">. These outreach approaches require a high level of resources to identify the target population, engage them, train health professionals, teachers and other stakeholders, and finally deliver the vaccine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"ITEM-2",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"ITEM-3",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"ITEM-3",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"[17\u201320]", "plainTextFormattedCitation" : "[17\u201320]", "previouslyFormattedCitation" : "[17\u201320]" }, "properties" : {  }, "schema" : "https://github.com/citation-style-language/schema/raw/master/csl-citation.json" }</w:instrText>
      </w:r>
      <w:r>
        <w:fldChar w:fldCharType="separate"/>
      </w:r>
      <w:bookmarkStart w:id="334" w:name="__Fieldmark__8538_513475976"/>
      <w:r>
        <w:rPr>
          <w:rFonts w:cs="Times New Roman" w:ascii="Times New Roman" w:hAnsi="Times New Roman"/>
        </w:rPr>
        <w:t>[</w:t>
      </w:r>
      <w:bookmarkStart w:id="335" w:name="__Fieldmark__12156_903549581"/>
      <w:r>
        <w:rPr>
          <w:rFonts w:cs="Times New Roman" w:ascii="Times New Roman" w:hAnsi="Times New Roman"/>
        </w:rPr>
        <w:t>17–20]</w:t>
      </w:r>
      <w:r>
        <w:rPr>
          <w:rFonts w:cs="Times New Roman" w:ascii="Times New Roman" w:hAnsi="Times New Roman"/>
        </w:rPr>
      </w:r>
      <w:r>
        <w:fldChar w:fldCharType="end"/>
      </w:r>
      <w:bookmarkEnd w:id="334"/>
      <w:bookmarkEnd w:id="335"/>
      <w:r>
        <w:rPr>
          <w:rFonts w:cs="Times New Roman" w:ascii="Times New Roman" w:hAnsi="Times New Roman"/>
        </w:rPr>
        <w:t>.</w:t>
      </w:r>
    </w:p>
    <w:p>
      <w:pPr>
        <w:pStyle w:val="Normal"/>
        <w:spacing w:lineRule="auto" w:line="480"/>
        <w:rPr/>
      </w:pPr>
      <w:r>
        <w:rPr>
          <w:rFonts w:cs="Times New Roman" w:ascii="Times New Roman" w:hAnsi="Times New Roman"/>
        </w:rPr>
        <w:t xml:space="preserve">In recognition of the high burden of cervical cancer in Mozambique, new efforts have been in place to reduce the disease burden in the country. Such efforts included a cervical cancer screening programme launched in 2009 </w:t>
      </w:r>
      <w:r>
        <w:fldChar w:fldCharType="begin"/>
      </w:r>
      <w:r>
        <w:instrText>ADDIN CSL_CITATION { "citationItems" : [ { "id" : "ITEM-1", "itemData" : { "DOI" : "10.7448/IAS.15.2.17406", "ISBN" : "1758-2652", "ISSN" : "17582652", "PMID" : "22713260", "abstract" : "BACKGROUND: In order to maximize the benefits of HIV care and treatment investments in sub-Saharan Africa, programs can broaden to target other diseases amenable to screening and efficient management. We nested cervical cancer screening into family planning clinics at select sites also receiving PEPFAR support for antiretroviral therapy (ART) rollout. This was done using visual inspection with acetic acid (VIA) by maternal child health nurses. We report on achievements and obstacles in the first year of the program in rural Mozambique.\\n\\nMETHODS: VIA was taught to clinic nurses and hospital physicians, with a regular clinical feedback loop for quality evaluation and retraining. Cryotherapy using carbon dioxide as the refrigerant was provided at clinics; loop electrosurgical excision procedure (LEEP) and surgery were provided at the provincial hospital for serious cases. No pathology services were available.\\n\\nRESULTS: Nurses screened 4651 women using VIA in Zamb\u00e9zia Province in year one of the program, more than double the Ministry of Health service target. VIA was judged positive for squamous intraepithelial lesions in 8% (n=380) of the women (9% if age \u2265 30 years (n=3154) and 7% if age &lt;30 years (n=1497); p=0.02). Of the 380 VIA-positive women, 4% (n=16) had lesions (0.3% of 4651 total screened) requiring referral to Quelimane Provincial Hospital. Fourteen (88%) of these 16 women were seen at the hospital, but records were inadequate to judge outcomes. Of women screened, 2714 (58%) either had knowledge of their HIV status prior to VIA or were subsequently sent for HIV testing, of which 583 (21%) were HIV positive.\\n\\nCONCLUSIONS: Screening and clinical services were successfully provided on a large scale for the first time ever in these rural clinics. However, health manpower shortages, equipment problems, poor paper record systems and a limited ability to follow-up patients inhibited the quality of the cervical cancer screening services. Using prior HIV investments, chronic disease screening and management for cervical cancer is feasible even in severely resource-constrained rural Africa.", "author" : [ { "dropping-particle" : "", "family" : "Moon", "given" : "Troy D.", "non-dropping-particle" : "", "parse-names" : false, "suffix" : "" }, { "dropping-particle" : "", "family" : "Silva-Matos", "given" : "Carla", "non-dropping-particle" : "", "parse-names" : false, "suffix" : "" }, { "dropping-particle" : "", "family" : "Cordoso", "given" : "Aventina", "non-dropping-particle" : "", "parse-names" : false, "suffix" : "" }, { "dropping-particle" : "", "family" : "Baptista", "given" : "Alberto J.", "non-dropping-particle" : "", "parse-names" : false, "suffix" : "" }, { "dropping-particle" : "", "family" : "Sidat", "given" : "Mohsin", "non-dropping-particle" : "", "parse-names" : false, "suffix" : "" }, { "dropping-particle" : "", "family" : "Vermund", "given" : "Sten H.", "non-dropping-particle" : "", "parse-names" : false, "suffix" : "" } ], "container-title" : "Journal of the International AIDS Society", "id" : "ITEM-1", "issue" : "2", "issued" : { "date-parts" : [ [ "2012" ] ] }, "page" : "2-8", "title" : "Implementation of cervical cancer screening using visual inspection with acetic acid in rural Mozambique: Successes and challenges using HIV care and treatment programme investments in Zamb\u00e9zia Province", "type" : "article-journal", "volume" : "15" }, "uris" : [ "http://www.mendeley.com/documents/?uuid=aba2395c-605d-4b91-9923-1acd1f99998b" ] } ], "mendeley" : { "formattedCitation" : "[21]", "plainTextFormattedCitation" : "[21]", "previouslyFormattedCitation" : "[21]" }, "properties" : {  }, "schema" : "https://github.com/citation-style-language/schema/raw/master/csl-citation.json" }</w:instrText>
      </w:r>
      <w:r>
        <w:fldChar w:fldCharType="separate"/>
      </w:r>
      <w:bookmarkStart w:id="336" w:name="__Fieldmark__8547_513475976"/>
      <w:r>
        <w:rPr>
          <w:rFonts w:cs="Times New Roman" w:ascii="Times New Roman" w:hAnsi="Times New Roman"/>
        </w:rPr>
        <w:t>[</w:t>
      </w:r>
      <w:bookmarkStart w:id="337" w:name="__Fieldmark__12163_903549581"/>
      <w:r>
        <w:rPr>
          <w:rFonts w:cs="Times New Roman" w:ascii="Times New Roman" w:hAnsi="Times New Roman"/>
        </w:rPr>
        <w:t>21]</w:t>
      </w:r>
      <w:r>
        <w:rPr>
          <w:rFonts w:cs="Times New Roman" w:ascii="Times New Roman" w:hAnsi="Times New Roman"/>
        </w:rPr>
      </w:r>
      <w:r>
        <w:fldChar w:fldCharType="end"/>
      </w:r>
      <w:bookmarkEnd w:id="336"/>
      <w:bookmarkEnd w:id="337"/>
      <w:r>
        <w:rPr>
          <w:rFonts w:cs="Times New Roman" w:ascii="Times New Roman" w:hAnsi="Times New Roman"/>
        </w:rPr>
        <w:t xml:space="preserve">, the consolidation of a cancer registry based at the Maputo Central Hospital </w:t>
      </w:r>
      <w:r>
        <w:fldChar w:fldCharType="begin"/>
      </w:r>
      <w:r>
        <w:instrText>ADDIN CSL_CITATION { "citationItems" : [ { "id" : "ITEM-1", "itemData" : { "DOI" : "10.1371/journal.pone.0130469", "ISBN" : "1932-6203 (Electronic)\\r1932-6203 (Linking)", "ISSN" : "19326203", "PMID" : "26110774", "abstract" : "BACKGROUND: Very limited information is available regarding the incidence of cancer in sub-Saharan Africa. We analyzed changes in cancer patterns from 1991 to 2008 in Maputo (Mozambique). METHODS: We calculated the rates of incidence of different cancer sites by sex in the 5-year age-group of the population of Maputo city as well as age-standardized rates (ASRs) and average annual percentage changes (AAPC). RESULTS: Over the 18-year study period a total of 12,674 cases of cancer (56.9% females) were registered with an overall increase in the risk of cancer in both sexes. In males, the most common cancers were those of the prostate, Kaposi sarcoma (KS) and the liver. Prostate cancer showed the most dramatic increase over the whole study period (AAPC +11.3%; 95% CI: 9.7-13.0), with an ASR of 61.7 per 105 in 2003-2008. In females, the most frequent cancers were of the uterine cervix, the breast and KS, with the former increasing along the whole study period (AAPC + 4.7%; 95% CI: 3.4-6) with an ASR of 62.0 per 105 in 2003-2008 as well as breast cancer (AAPC +6.5%; 95%CI: 4.3-8.7). CONCLUSIONS: Overall, the risk of cancer rose in both sexes during the study period, particularly among cancers associated with westernization of lifestyles (prostate, breast), combined with increasingly rising incidences or limited changes in cancers associated with infection and poverty (uterine cervix, liver). Moreover, the burden of AIDS-associated cancers has shown a marked increase.", "author" : [ { "dropping-particle" : "", "family" : "Lorenzoni", "given" : "Cesaltina", "non-dropping-particle" : "", "parse-names" : false, "suffix" : "" }, { "dropping-particle" : "", "family" : "Vilajeliu", "given" : "Alba", "non-dropping-particle" : "", "parse-names" : false, "suffix" : "" }, { "dropping-particle" : "", "family" : "Carrilho", "given" : "Carla", "non-dropping-particle" : "", "parse-names" : false, "suffix" : "" }, { "dropping-particle" : "", "family" : "Ismail", "given" : "Mamudo R.", "non-dropping-particle" : "", "parse-names" : false, "suffix" : "" }, { "dropping-particle" : "", "family" : "Castillo", "given" : "Paola", "non-dropping-particle" : "", "parse-names" : false, "suffix" : "" }, { "dropping-particle" : "", "family" : "Augusto", "given" : "Orvalho", "non-dropping-particle" : "", "parse-names" : false, "suffix" : "" }, { "dropping-particle" : "", "family" : "Garc\u00eda-Basteiro", "given" : "Alberto L.", "non-dropping-particle" : "", "parse-names" : false, "suffix" : "" }, { "dropping-particle" : "", "family" : "Sidat", "given" : "Mohsin", "non-dropping-particle" : "", "parse-names" : false, "suffix" : "" }, { "dropping-particle" : "", "family" : "Sanjos\u00e9", "given" : "Silvia", "non-dropping-particle" : "De", "parse-names" : false, "suffix" : "" }, { "dropping-particle" : "", "family" : "Men\u00e9ndez", "given" : "Clara", "non-dropping-particle" : "", "parse-names" : false, "suffix" : "" }, { "dropping-particle" : "", "family" : "Ordi", "given" : "Jaume", "non-dropping-particle" : "", "parse-names" : false, "suffix" : "" } ], "container-title" : "PLoS ONE", "id" : "ITEM-1", "issue" : "6", "issued" : { "date-parts" : [ [ "2015" ] ] }, "page" : "1-12", "title" : "Trends in cancer incidence in Maputo, Mozambique, 1991-2008", "type" : "article-journal", "volume" : "10" }, "uris" : [ "http://www.mendeley.com/documents/?uuid=3226d4f7-06d7-40dc-aa97-ef636373bf7f" ] } ], "mendeley" : { "formattedCitation" : "[4]", "plainTextFormattedCitation" : "[4]", "previouslyFormattedCitation" : "[4]" }, "properties" : {  }, "schema" : "https://github.com/citation-style-language/schema/raw/master/csl-citation.json" }</w:instrText>
      </w:r>
      <w:r>
        <w:fldChar w:fldCharType="separate"/>
      </w:r>
      <w:bookmarkStart w:id="338" w:name="__Fieldmark__8554_513475976"/>
      <w:r>
        <w:rPr>
          <w:rFonts w:cs="Times New Roman" w:ascii="Times New Roman" w:hAnsi="Times New Roman"/>
        </w:rPr>
        <w:t>[</w:t>
      </w:r>
      <w:bookmarkStart w:id="339" w:name="__Fieldmark__12168_903549581"/>
      <w:r>
        <w:rPr>
          <w:rFonts w:cs="Times New Roman" w:ascii="Times New Roman" w:hAnsi="Times New Roman"/>
        </w:rPr>
        <w:t>4]</w:t>
      </w:r>
      <w:r>
        <w:rPr>
          <w:rFonts w:cs="Times New Roman" w:ascii="Times New Roman" w:hAnsi="Times New Roman"/>
        </w:rPr>
      </w:r>
      <w:r>
        <w:fldChar w:fldCharType="end"/>
      </w:r>
      <w:bookmarkEnd w:id="338"/>
      <w:bookmarkEnd w:id="339"/>
      <w:r>
        <w:rPr>
          <w:rFonts w:cs="Times New Roman" w:ascii="Times New Roman" w:hAnsi="Times New Roman"/>
        </w:rPr>
        <w:t xml:space="preserve">, and the evaluation of introducing HPV vaccination to pre-adolescent girls as part of the national routine EPI by 2021. Under this framework, a demonstration programme was carried out in Mozambique consisting of vaccinating 10-year-old girls at schools, health facilities and communities in three districts: Manhiça, Manica and Mocímboa da Praia; south, centre and north of the country, respectively. The programme ran in two cycles, during the years 2014 and 2015, delivering three doses of Bivalent Cervarix® during the first year and two doses during the second year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0" w:name="__Fieldmark__8561_513475976"/>
      <w:r>
        <w:rPr>
          <w:rFonts w:cs="Times New Roman" w:ascii="Times New Roman" w:hAnsi="Times New Roman"/>
        </w:rPr>
        <w:t>[</w:t>
      </w:r>
      <w:bookmarkStart w:id="341" w:name="__Fieldmark__12174_903549581"/>
      <w:r>
        <w:rPr>
          <w:rFonts w:cs="Times New Roman" w:ascii="Times New Roman" w:hAnsi="Times New Roman"/>
        </w:rPr>
        <w:t>22]</w:t>
      </w:r>
      <w:r>
        <w:rPr>
          <w:rFonts w:cs="Times New Roman" w:ascii="Times New Roman" w:hAnsi="Times New Roman"/>
        </w:rPr>
      </w:r>
      <w:r>
        <w:fldChar w:fldCharType="end"/>
      </w:r>
      <w:bookmarkEnd w:id="340"/>
      <w:bookmarkEnd w:id="341"/>
      <w:r>
        <w:rPr>
          <w:rFonts w:cs="Times New Roman" w:ascii="Times New Roman" w:hAnsi="Times New Roman"/>
        </w:rPr>
        <w:t xml:space="preserve">. The programme implementation in Manhiça district was funded and supported by GAVI as part of the initiative to introduce HPV vaccination in low- and lower middle-income countries </w:t>
      </w:r>
      <w:r>
        <w:fldChar w:fldCharType="begin"/>
      </w:r>
      <w:r>
        <w:instrText>ADDIN CSL_CITATION { "citationItems" : [ { "id" : "ITEM-1", "itemData" : { "URL" : "http://www.gavi.org/support/process/apply/", "accessed" : { "date-parts" : [ [ "2017", "1", "26" ] ] }, "author" : [ { "dropping-particle" : "", "family" : "GAVI the Vaccine Alliance", "given" : "", "non-dropping-particle" : "", "parse-names" : false, "suffix" : "" } ], "id" : "ITEM-1", "issued" : { "date-parts" : [ [ "2018" ] ] }, "title" : "GAVI supporting guidelines", "type" : "webpage" }, "uris" : [ "http://www.mendeley.com/documents/?uuid=c3b6a71b-9cea-4e17-95bd-755609e00cfd" ] } ], "mendeley" : { "formattedCitation" : "[23]", "plainTextFormattedCitation" : "[23]", "previouslyFormattedCitation" : "[23]" }, "properties" : {  }, "schema" : "https://github.com/citation-style-language/schema/raw/master/csl-citation.json" }</w:instrText>
      </w:r>
      <w:r>
        <w:fldChar w:fldCharType="separate"/>
      </w:r>
      <w:bookmarkStart w:id="342" w:name="__Fieldmark__8568_513475976"/>
      <w:r>
        <w:rPr>
          <w:rFonts w:cs="Times New Roman" w:ascii="Times New Roman" w:hAnsi="Times New Roman"/>
        </w:rPr>
        <w:t>[</w:t>
      </w:r>
      <w:bookmarkStart w:id="343" w:name="__Fieldmark__12179_903549581"/>
      <w:r>
        <w:rPr>
          <w:rFonts w:cs="Times New Roman" w:ascii="Times New Roman" w:hAnsi="Times New Roman"/>
        </w:rPr>
        <w:t>23]</w:t>
      </w:r>
      <w:r>
        <w:rPr>
          <w:rFonts w:cs="Times New Roman" w:ascii="Times New Roman" w:hAnsi="Times New Roman"/>
        </w:rPr>
      </w:r>
      <w:r>
        <w:fldChar w:fldCharType="end"/>
      </w:r>
      <w:bookmarkEnd w:id="342"/>
      <w:bookmarkEnd w:id="343"/>
      <w:r>
        <w:rPr>
          <w:rFonts w:cs="Times New Roman" w:ascii="Times New Roman" w:hAnsi="Times New Roman"/>
        </w:rPr>
        <w:t xml:space="preserve">. The Mozambican government funded </w:t>
      </w:r>
      <w:del w:id="197" w:author="Unknown Author" w:date="2018-04-12T11:39:00Z">
        <w:r>
          <w:rPr>
            <w:rFonts w:cs="Times New Roman" w:ascii="Times New Roman" w:hAnsi="Times New Roman"/>
          </w:rPr>
          <w:delText xml:space="preserve">the </w:delText>
        </w:r>
      </w:del>
      <w:r>
        <w:rPr>
          <w:rFonts w:cs="Times New Roman" w:ascii="Times New Roman" w:hAnsi="Times New Roman"/>
        </w:rPr>
        <w:t xml:space="preserve">delivery in the two other districts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344" w:name="__Fieldmark__8575_513475976"/>
      <w:r>
        <w:rPr>
          <w:rFonts w:cs="Times New Roman" w:ascii="Times New Roman" w:hAnsi="Times New Roman"/>
        </w:rPr>
        <w:t>[</w:t>
      </w:r>
      <w:bookmarkStart w:id="345" w:name="__Fieldmark__12184_903549581"/>
      <w:r>
        <w:rPr>
          <w:rFonts w:cs="Times New Roman" w:ascii="Times New Roman" w:hAnsi="Times New Roman"/>
        </w:rPr>
        <w:t>22]</w:t>
      </w:r>
      <w:r>
        <w:rPr>
          <w:rFonts w:cs="Times New Roman" w:ascii="Times New Roman" w:hAnsi="Times New Roman"/>
        </w:rPr>
      </w:r>
      <w:r>
        <w:fldChar w:fldCharType="end"/>
      </w:r>
      <w:bookmarkEnd w:id="344"/>
      <w:bookmarkEnd w:id="345"/>
      <w:r>
        <w:rPr>
          <w:rFonts w:cs="Times New Roman" w:ascii="Times New Roman" w:hAnsi="Times New Roman"/>
        </w:rPr>
        <w:t xml:space="preserve">. This project estimated the costs incurred during the 2014 cycle for the HPV vaccine demonstration programme in Manhiça district, and developed an alternative cost scenario for future implementation.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color w:val="000000" w:themeColor="text1"/>
        </w:rPr>
      </w:pPr>
      <w:r>
        <w:rPr>
          <w:rFonts w:cs="Times New Roman" w:ascii="Times New Roman" w:hAnsi="Times New Roman"/>
          <w:b/>
          <w:color w:val="000000" w:themeColor="text1"/>
        </w:rPr>
      </w:r>
      <w:r>
        <w:br w:type="page"/>
      </w:r>
    </w:p>
    <w:p>
      <w:pPr>
        <w:pStyle w:val="Normal"/>
        <w:tabs>
          <w:tab w:val="left" w:pos="1306" w:leader="none"/>
          <w:tab w:val="left" w:pos="2111" w:leader="none"/>
        </w:tabs>
        <w:spacing w:lineRule="auto" w:line="480"/>
        <w:rPr/>
      </w:pPr>
      <w:bookmarkStart w:id="346" w:name="_Toc460593294"/>
      <w:bookmarkEnd w:id="346"/>
      <w:r>
        <w:rPr>
          <w:rFonts w:cs="Times New Roman" w:ascii="Times New Roman" w:hAnsi="Times New Roman"/>
          <w:b/>
          <w:color w:val="000000" w:themeColor="text1"/>
        </w:rPr>
        <w:t>Methods</w:t>
      </w:r>
    </w:p>
    <w:p>
      <w:pPr>
        <w:pStyle w:val="Normal"/>
        <w:tabs>
          <w:tab w:val="left" w:pos="1769" w:leader="none"/>
          <w:tab w:val="left" w:pos="2111" w:leader="none"/>
        </w:tabs>
        <w:spacing w:lineRule="auto" w:line="480"/>
        <w:rPr>
          <w:rFonts w:ascii="Times New Roman" w:hAnsi="Times New Roman" w:cs="Times New Roman"/>
          <w:color w:val="000000" w:themeColor="text1"/>
          <w:u w:val="single"/>
        </w:rPr>
      </w:pPr>
      <w:bookmarkStart w:id="347" w:name="_Toc460593295"/>
      <w:bookmarkEnd w:id="347"/>
      <w:r>
        <w:rPr>
          <w:rFonts w:cs="Times New Roman" w:ascii="Times New Roman" w:hAnsi="Times New Roman"/>
          <w:color w:val="000000" w:themeColor="text1"/>
          <w:u w:val="single"/>
        </w:rPr>
        <w:t>Study setting</w:t>
      </w:r>
    </w:p>
    <w:p>
      <w:pPr>
        <w:pStyle w:val="Normal"/>
        <w:spacing w:lineRule="auto" w:line="480"/>
        <w:rPr/>
      </w:pPr>
      <w:r>
        <w:rPr>
          <w:rFonts w:cs="Times New Roman" w:ascii="Times New Roman" w:hAnsi="Times New Roman"/>
        </w:rPr>
        <w:t xml:space="preserve">The study was carried out in Manhiça, a semi-rural district 80 km north of Maputo city. With 229,539 inhabitants in 2013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48" w:name="__Fieldmark__8594_513475976"/>
      <w:r>
        <w:rPr>
          <w:rFonts w:cs="Times New Roman" w:ascii="Times New Roman" w:hAnsi="Times New Roman"/>
        </w:rPr>
        <w:t>[</w:t>
      </w:r>
      <w:bookmarkStart w:id="349" w:name="__Fieldmark__12197_903549581"/>
      <w:r>
        <w:rPr>
          <w:rFonts w:cs="Times New Roman" w:ascii="Times New Roman" w:hAnsi="Times New Roman"/>
        </w:rPr>
        <w:t>24]</w:t>
      </w:r>
      <w:r>
        <w:rPr>
          <w:rFonts w:cs="Times New Roman" w:ascii="Times New Roman" w:hAnsi="Times New Roman"/>
        </w:rPr>
      </w:r>
      <w:r>
        <w:fldChar w:fldCharType="end"/>
      </w:r>
      <w:bookmarkEnd w:id="348"/>
      <w:bookmarkEnd w:id="349"/>
      <w:r>
        <w:rPr>
          <w:rFonts w:cs="Times New Roman" w:ascii="Times New Roman" w:hAnsi="Times New Roman"/>
        </w:rPr>
        <w:t xml:space="preserve">, the population is unevenly distributed across the district with concentrations in the two main towns, Manhiça and Xinavane. Most of the population lives on subsistence farming, with some commercial activities on the main road crossing the district. According to the last census most of the dwellings were precarious, as reed was the most common material for constructing walls (69% of households) and metal sheet was used for roofs (80% of households). 46% of </w:t>
      </w:r>
      <w:del w:id="198" w:author="Unknown Author" w:date="2018-04-12T11:40:00Z">
        <w:r>
          <w:rPr>
            <w:rFonts w:cs="Times New Roman" w:ascii="Times New Roman" w:hAnsi="Times New Roman"/>
          </w:rPr>
          <w:delText xml:space="preserve">the </w:delText>
        </w:r>
      </w:del>
      <w:r>
        <w:rPr>
          <w:rFonts w:cs="Times New Roman" w:ascii="Times New Roman" w:hAnsi="Times New Roman"/>
        </w:rPr>
        <w:t>households owned a radio but only 3%</w:t>
      </w:r>
      <w:del w:id="199" w:author="Unknown Author" w:date="2018-04-12T11:40:00Z">
        <w:r>
          <w:rPr>
            <w:rFonts w:cs="Times New Roman" w:ascii="Times New Roman" w:hAnsi="Times New Roman"/>
          </w:rPr>
          <w:delText xml:space="preserve"> of them</w:delText>
        </w:r>
      </w:del>
      <w:r>
        <w:rPr>
          <w:rFonts w:cs="Times New Roman" w:ascii="Times New Roman" w:hAnsi="Times New Roman"/>
        </w:rPr>
        <w:t xml:space="preserve"> owned a car. 17% of </w:t>
      </w:r>
      <w:del w:id="200" w:author="Unknown Author" w:date="2018-04-12T11:40:00Z">
        <w:r>
          <w:rPr>
            <w:rFonts w:cs="Times New Roman" w:ascii="Times New Roman" w:hAnsi="Times New Roman"/>
          </w:rPr>
          <w:delText xml:space="preserve">the </w:delText>
        </w:r>
      </w:del>
      <w:r>
        <w:rPr>
          <w:rFonts w:cs="Times New Roman" w:ascii="Times New Roman" w:hAnsi="Times New Roman"/>
        </w:rPr>
        <w:t xml:space="preserve">households lacked a latrine but only 15% of them had access to piped water in the household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0" w:name="__Fieldmark__8601_513475976"/>
      <w:r>
        <w:rPr>
          <w:rFonts w:cs="Times New Roman" w:ascii="Times New Roman" w:hAnsi="Times New Roman"/>
        </w:rPr>
        <w:t>[</w:t>
      </w:r>
      <w:bookmarkStart w:id="351" w:name="__Fieldmark__12202_903549581"/>
      <w:r>
        <w:rPr>
          <w:rFonts w:cs="Times New Roman" w:ascii="Times New Roman" w:hAnsi="Times New Roman"/>
        </w:rPr>
        <w:t>24]</w:t>
      </w:r>
      <w:r>
        <w:rPr>
          <w:rFonts w:cs="Times New Roman" w:ascii="Times New Roman" w:hAnsi="Times New Roman"/>
        </w:rPr>
      </w:r>
      <w:r>
        <w:fldChar w:fldCharType="end"/>
      </w:r>
      <w:bookmarkEnd w:id="350"/>
      <w:bookmarkEnd w:id="351"/>
      <w:r>
        <w:rPr>
          <w:rFonts w:cs="Times New Roman" w:ascii="Times New Roman" w:hAnsi="Times New Roman"/>
        </w:rPr>
        <w:t xml:space="preserve">. </w:t>
      </w:r>
    </w:p>
    <w:p>
      <w:pPr>
        <w:pStyle w:val="Normal"/>
        <w:spacing w:lineRule="auto" w:line="480"/>
        <w:rPr/>
      </w:pPr>
      <w:r>
        <w:rPr>
          <w:rFonts w:cs="Times New Roman" w:ascii="Times New Roman" w:hAnsi="Times New Roman"/>
        </w:rPr>
        <w:t xml:space="preserve">According to the National Institute of Statistics 92 primary schools and 2,974 girls of 10 years old are present in the district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"Instituto Nacional de Estad\u00edstica", "given" : "", "non-dropping-particle" : "", "parse-names" : false, "suffix" : "" } ], "id" : "ITEM-2", "issued" : { "date-parts" : [ [ "2013" ] ] }, "publisher-place" : "Maputo, Republic of Mozambique", "title" : "Estat\u00edsticas do Distrito de Manhi\u00e7a", "type" : "report" }, "uris" : [ "http://www.mendeley.com/documents/?uuid=688d7ab6-15c4-4af4-9a39-54ad3544f9cf" ] } ], "mendeley" : { "formattedCitation" : "[22,24]", "plainTextFormattedCitation" : "[22,24]", "previouslyFormattedCitation" : "[22,24]" }, "properties" : {  }, "schema" : "https://github.com/citation-style-language/schema/raw/master/csl-citation.json" }</w:instrText>
      </w:r>
      <w:r>
        <w:fldChar w:fldCharType="separate"/>
      </w:r>
      <w:bookmarkStart w:id="352" w:name="__Fieldmark__8610_513475976"/>
      <w:r>
        <w:rPr>
          <w:rFonts w:cs="Times New Roman" w:ascii="Times New Roman" w:hAnsi="Times New Roman"/>
        </w:rPr>
        <w:t>[</w:t>
      </w:r>
      <w:bookmarkStart w:id="353" w:name="__Fieldmark__12209_903549581"/>
      <w:r>
        <w:rPr>
          <w:rFonts w:cs="Times New Roman" w:ascii="Times New Roman" w:hAnsi="Times New Roman"/>
        </w:rPr>
        <w:t>22,24]</w:t>
      </w:r>
      <w:r>
        <w:rPr>
          <w:rFonts w:cs="Times New Roman" w:ascii="Times New Roman" w:hAnsi="Times New Roman"/>
        </w:rPr>
      </w:r>
      <w:r>
        <w:fldChar w:fldCharType="end"/>
      </w:r>
      <w:bookmarkEnd w:id="352"/>
      <w:bookmarkEnd w:id="353"/>
      <w:r>
        <w:rPr>
          <w:rFonts w:cs="Times New Roman" w:ascii="Times New Roman" w:hAnsi="Times New Roman"/>
        </w:rPr>
        <w:t xml:space="preserve">. </w:t>
      </w:r>
      <w:bookmarkStart w:id="354" w:name="_Toc400277925"/>
      <w:r>
        <w:rPr>
          <w:rFonts w:cs="Times New Roman" w:ascii="Times New Roman" w:hAnsi="Times New Roman"/>
        </w:rPr>
        <w:t xml:space="preserve">The district encompasses 1 district hospital, 1 rural hospital, 13 health facilities and 1 health post, which cover the 6 administrative posts </w:t>
      </w:r>
      <w:r>
        <w:fldChar w:fldCharType="begin"/>
      </w:r>
      <w:r>
        <w:instrText>ADDIN CSL_CITATION { "citationItems" : [ { "id" : "ITEM-1", "itemData" : { "author" : [ { "dropping-particle" : "", "family" : "Instituto Nacional de Estad\u00edstica", "given" : "", "non-dropping-particle" : "", "parse-names" : false, "suffix" : "" } ], "id" : "ITEM-1", "issued" : { "date-parts" : [ [ "2013" ] ] }, "publisher-place" : "Maputo, Republic of Mozambique", "title" : "Estat\u00edsticas do Distrito de Manhi\u00e7a", "type" : "report" }, "uris" : [ "http://www.mendeley.com/documents/?uuid=688d7ab6-15c4-4af4-9a39-54ad3544f9cf" ] } ], "mendeley" : { "formattedCitation" : "[24]", "plainTextFormattedCitation" : "[24]", "previouslyFormattedCitation" : "[24]" }, "properties" : {  }, "schema" : "https://github.com/citation-style-language/schema/raw/master/csl-citation.json" }</w:instrText>
      </w:r>
      <w:r>
        <w:fldChar w:fldCharType="separate"/>
      </w:r>
      <w:bookmarkStart w:id="355" w:name="__Fieldmark__8619_513475976"/>
      <w:r>
        <w:rPr>
          <w:rFonts w:cs="Times New Roman" w:ascii="Times New Roman" w:hAnsi="Times New Roman"/>
        </w:rPr>
        <w:t>[</w:t>
      </w:r>
      <w:bookmarkStart w:id="356" w:name="__Fieldmark__12216_903549581"/>
      <w:r>
        <w:rPr>
          <w:rFonts w:cs="Times New Roman" w:ascii="Times New Roman" w:hAnsi="Times New Roman"/>
        </w:rPr>
        <w:t>24]</w:t>
      </w:r>
      <w:r>
        <w:rPr>
          <w:rFonts w:cs="Times New Roman" w:ascii="Times New Roman" w:hAnsi="Times New Roman"/>
        </w:rPr>
      </w:r>
      <w:r>
        <w:fldChar w:fldCharType="end"/>
      </w:r>
      <w:bookmarkEnd w:id="355"/>
      <w:bookmarkEnd w:id="356"/>
      <w:r>
        <w:rPr>
          <w:rFonts w:cs="Times New Roman" w:ascii="Times New Roman" w:hAnsi="Times New Roman"/>
        </w:rPr>
        <w:t>.</w:t>
      </w:r>
      <w:bookmarkEnd w:id="354"/>
      <w:r>
        <w:rPr>
          <w:rFonts w:cs="Times New Roman" w:ascii="Times New Roman" w:hAnsi="Times New Roman"/>
        </w:rPr>
        <w:t xml:space="preserve"> EPI services are available in 12 of the health facilities. Adjacent to the district hospital, the Manhiça Health Research Centre</w:t>
      </w:r>
      <w:r>
        <w:rPr>
          <w:rFonts w:cs="Times New Roman" w:ascii="Times New Roman" w:hAnsi="Times New Roman"/>
          <w:i/>
        </w:rPr>
        <w:t xml:space="preserve"> </w:t>
      </w:r>
      <w:r>
        <w:rPr>
          <w:rFonts w:cs="Times New Roman" w:ascii="Times New Roman" w:hAnsi="Times New Roman"/>
        </w:rPr>
        <w:t xml:space="preserve">(in Portuguese </w:t>
      </w:r>
      <w:r>
        <w:rPr>
          <w:rFonts w:ascii="Times New Roman" w:hAnsi="Times New Roman"/>
          <w:color w:val="000000" w:themeColor="text1"/>
        </w:rPr>
        <w:t xml:space="preserve">Centro de Investigação em Saúde de Manhiça, </w:t>
      </w:r>
      <w:r>
        <w:rPr>
          <w:rFonts w:cs="Times New Roman" w:ascii="Times New Roman" w:hAnsi="Times New Roman"/>
        </w:rPr>
        <w:t xml:space="preserve">CISM) operates a Health and Demographic Surveillance System in the district, which monitors the entire population´s vital events at community level and records paediatric outpatients and hospital admissions since 1996 </w:t>
      </w:r>
      <w:r>
        <w:fldChar w:fldCharType="begin"/>
      </w:r>
      <w:r>
        <w:instrText>ADDIN CSL_CITATION { "citationItems" : [ { "id" : "ITEM-1", "itemData" : { "DOI" : "10.1093/ije/dyt148", "ISSN" : "1464-3685", "PMID" : "24159076", "abstract" : "The Manhi\u00e7a Health Research Centre, established in 1996 in a rural area of southern Mozambique, currently follows around 92 000 individuals living in approximately 20 000 enumerated and geo-positioned households. Its main strength is the possibility of linking demographic data and clinical data to promote and conduct biomedical research in priority health areas. Socio-demographic data are updated twice a year and clinical data are collected on a daily basis. The data collected in Manhi\u00e7a HDSS comprises household and individual characteristics, household socio-economic assets, vital data, migration, individual health history and cause of death, among others. Studies conducted in this HDSS contributed to guide the health authorities and decision-making bodies to define or adjust health policies such as the introduction of Mozambique's expanded programme of immunization with different vaccines (Haemophilus influenzae type b, Pneumococcus) or the development of the concept of Intermittent Preventive Treatment for Infants (IPTi) that led to the World Health Organization recommendation of this method as best practice for the control of malaria among infants. Manhi\u00e7a's data can be accessed through a formal request to Diana Quelhas (diana.quelhas@manhica.net) accompanied by a proposal that will be analysed by the Manhi\u00e7a HDSS internal scientific and ethics committees.", "author" : [ { "dropping-particle" : "", "family" : "Sacoor", "given" : "Charfudin", "non-dropping-particle" : "", "parse-names" : false, "suffix" : "" }, { "dropping-particle" : "", "family" : "Nhacolo", "given" : "Ariel", "non-dropping-particle" : "", "parse-names" : false, "suffix" : "" }, { "dropping-particle" : "", "family" : "Nhalungo", "given" : "Delino", "non-dropping-particle" : "", "parse-names" : false, "suffix" : "" }, { "dropping-particle" : "", "family" : "Aponte", "given" : "John J", "non-dropping-particle" : "", "parse-names" : false, "suffix" : "" }, { "dropping-particle" : "", "family" : "Bassat", "given" : "Quique", "non-dropping-particle" : "", "parse-names" : false, "suffix" : "" }, { "dropping-particle" : "", "family" : "Augusto", "given" : "Orvalho", "non-dropping-particle" : "", "parse-names" : false, "suffix" : "" }, { "dropping-particle" : "", "family" : "Mandomando", "given" : "In\u00e1cio", "non-dropping-particle" : "", "parse-names" : false, "suffix" : "" }, { "dropping-particle" : "", "family" : "Sacarlal", "given" : "Jahit", "non-dropping-particle" : "", "parse-names" : false, "suffix" : "" }, { "dropping-particle" : "", "family" : "Lauchande", "given" : "Natu", "non-dropping-particle" : "", "parse-names" : false, "suffix" : "" }, { "dropping-particle" : "", "family" : "Siga\u00faque", "given" : "Betuel", "non-dropping-particle" : "", "parse-names" : false, "suffix" : "" }, { "dropping-particle" : "", "family" : "Alonso", "given" : "Pedro L", "non-dropping-particle" : "", "parse-names" : false, "suffix" : "" }, { "dropping-particle" : "", "family" : "Macete", "given" : "Eus\u00e9bio", "non-dropping-particle" : "", "parse-names" : false, "suffix" : "" }, { "dropping-particle" : "", "family" : "Munguambe", "given" : "Kh\u00e1tia", "non-dropping-particle" : "", "parse-names" : false, "suffix" : "" }, { "dropping-particle" : "", "family" : "Guinovart", "given" : "Caterina", "non-dropping-particle" : "", "parse-names" : false, "suffix" : "" }, { "dropping-particle" : "", "family" : "Aide", "given" : "Pedro", "non-dropping-particle" : "", "parse-names" : false, "suffix" : "" }, { "dropping-particle" : "", "family" : "Menendez", "given" : "Clara", "non-dropping-particle" : "", "parse-names" : false, "suffix" : "" }, { "dropping-particle" : "", "family" : "Ac\u00e1cio", "given" : "Sozinho", "non-dropping-particle" : "", "parse-names" : false, "suffix" : "" }, { "dropping-particle" : "", "family" : "Quelhas", "given" : "Diana", "non-dropping-particle" : "", "parse-names" : false, "suffix" : "" }, { "dropping-particle" : "", "family" : "Sevene", "given" : "Esperan\u00e7a", "non-dropping-particle" : "", "parse-names" : false, "suffix" : "" }, { "dropping-particle" : "", "family" : "Nhampossa", "given" : "Tacilta", "non-dropping-particle" : "", "parse-names" : false, "suffix" : "" } ], "container-title" : "International journal of epidemiology", "id" : "ITEM-1", "issue" : "5", "issued" : { "date-parts" : [ [ "2013", "10" ] ] }, "page" : "1309-18", "title" : "Profile: Manhi\u00e7a Health Research Centre (Manhi\u00e7a HDSS).", "type" : "article-journal", "volume" : "42" }, "uris" : [ "http://www.mendeley.com/documents/?uuid=86b98452-b6eb-4253-ae2f-8a98e8798d72" ] } ], "mendeley" : { "formattedCitation" : "[25]", "plainTextFormattedCitation" : "[25]", "previouslyFormattedCitation" : "[25]" }, "properties" : {  }, "schema" : "https://github.com/citation-style-language/schema/raw/master/csl-citation.json" }</w:instrText>
      </w:r>
      <w:r>
        <w:fldChar w:fldCharType="separate"/>
      </w:r>
      <w:bookmarkStart w:id="357" w:name="__Fieldmark__8632_513475976"/>
      <w:r>
        <w:rPr>
          <w:rFonts w:cs="Times New Roman" w:ascii="Times New Roman" w:hAnsi="Times New Roman"/>
        </w:rPr>
        <w:t>[</w:t>
      </w:r>
      <w:bookmarkStart w:id="358" w:name="__Fieldmark__12227_903549581"/>
      <w:r>
        <w:rPr>
          <w:rFonts w:cs="Times New Roman" w:ascii="Times New Roman" w:hAnsi="Times New Roman"/>
        </w:rPr>
        <w:t>25]</w:t>
      </w:r>
      <w:r>
        <w:rPr>
          <w:rFonts w:cs="Times New Roman" w:ascii="Times New Roman" w:hAnsi="Times New Roman"/>
        </w:rPr>
      </w:r>
      <w:r>
        <w:fldChar w:fldCharType="end"/>
      </w:r>
      <w:bookmarkEnd w:id="357"/>
      <w:bookmarkEnd w:id="358"/>
      <w:r>
        <w:rPr>
          <w:rFonts w:cs="Times New Roman" w:ascii="Times New Roman" w:hAnsi="Times New Roman"/>
        </w:rPr>
        <w:t>.</w:t>
      </w:r>
    </w:p>
    <w:p>
      <w:pPr>
        <w:pStyle w:val="Normal"/>
        <w:spacing w:lineRule="auto" w:line="480"/>
        <w:rPr>
          <w:rFonts w:ascii="Times New Roman" w:hAnsi="Times New Roman" w:cs="Times New Roman"/>
          <w:color w:val="000000" w:themeColor="text1"/>
          <w:u w:val="single"/>
        </w:rPr>
      </w:pPr>
      <w:bookmarkStart w:id="359" w:name="_Toc460593296"/>
      <w:bookmarkEnd w:id="359"/>
      <w:r>
        <w:rPr>
          <w:rFonts w:cs="Times New Roman" w:ascii="Times New Roman" w:hAnsi="Times New Roman"/>
          <w:color w:val="000000" w:themeColor="text1"/>
          <w:u w:val="single"/>
        </w:rPr>
        <w:t>Data collection approach</w:t>
      </w:r>
    </w:p>
    <w:p>
      <w:pPr>
        <w:pStyle w:val="Normal"/>
        <w:spacing w:lineRule="auto" w:line="480"/>
        <w:rPr/>
      </w:pPr>
      <w:r>
        <w:rPr>
          <w:rFonts w:cs="Times New Roman" w:ascii="Times New Roman" w:hAnsi="Times New Roman"/>
        </w:rPr>
        <w:t xml:space="preserve">Primary data collection involved interviews with experts, referred to as key informants in this study, at the national, district (Manhiça) and sub-district levels (health facilities), to gather information on the use of resources during the first year demonstration programme </w:t>
      </w:r>
      <w:r>
        <w:fldChar w:fldCharType="begin"/>
      </w:r>
      <w:r>
        <w:instrText>ADDIN CSL_CITATION { "citationItems" : [ { "id" : "ITEM-1", "itemData" : { "DOI" : "10.1016/j.vaccine.2014.09.031", "ISSN" : "18732518", "PMID" : "25261379", "abstract" : "Objective: We aimed to explore the impacts of new vaccine introductions on immunization programmes and health systems in low- and middle-income countries. Methods: We conducted case studies of seven vaccine introductions in six countries (Cameroon, PCV; Ethiopia, PCV; Guatemala, rotavirus; Kenya, PCV; Mali, Meningitis A; Mali, PCV; Rwanda, HPV). Interviews were conducted with 261 national, regional and district key informants and questionnaires were completed with staff from 196 health facilities. Routine data from districts and health facilities were gathered on vaccination and antenatal service use. Data collection and analysis were structured around the World Health Organisation health system building blocks. Findings: The new vaccines were viewed positively and seemed to integrate well into existing health systems. The introductions were found to have had no impact on many elements within the building blocks framework. Despite many key informants and facility respondents perceiving that the new vaccine introductions had increased coverage of other vaccines, the routine data showed no change. Positive effects perceived included enhanced credibility of the immunisation programme and strengthened health workers' skills through training. Negative effects reported included an increase in workload and stock outs of the new vaccine, which created a perception in the community that all vaccines were out of stock in a facility. Most effects were found within the vaccination programmes; very few were reported on the broader health systems. Effects were primarily reported to be temporary, around the time of introduction only. Conclusion: Although the new vaccine introductions were viewed as intrinsically positive, on the whole there was no evidence that they had any major impact, positive or negative, on the broader health systems.", "author" : [ { "dropping-particle" : "", "family" : "Burchett", "given" : "Helen E.D.", "non-dropping-particle" : "", "parse-names" : false, "suffix" : "" }, { "dropping-particle" : "", "family" : "Mounier-Jack", "given" : "Sandra", "non-dropping-particle" : "", "parse-names" : false, "suffix" : "" }, { "dropping-particle" : "", "family" : "Torres-Rueda", "given" : "Sergio", "non-dropping-particle" : "", "parse-names" : false, "suffix" : "" }, { "dropping-particle" : "", "family" : "Griffiths", "given" : "Ulla K.", "non-dropping-particle" : "", "parse-names" : false, "suffix" : "" }, { "dropping-particle" : "", "family" : "Ongolo-Zogo", "given" : "Pierre", "non-dropping-particle" : "", "parse-names" : false, "suffix" : "" }, { "dropping-particle" : "", "family" : "Rulisa", "given" : "Stephen", "non-dropping-particle" : "", "parse-names" : false, "suffix" : "" }, { "dropping-particle" : "", "family" : "Edengue", "given" : "Jean Marie", "non-dropping-particle" : "", "parse-names" : false, "suffix" : "" }, { "dropping-particle" : "", "family" : "Chavez", "given" : "Enrique", "non-dropping-particle" : "", "parse-names" : false, "suffix" : "" }, { "dropping-particle" : "", "family" : "Kitaw", "given" : "Yayehirad", "non-dropping-particle" : "", "parse-names" : false, "suffix" : "" }, { "dropping-particle" : "", "family" : "Molla", "given" : "Mitike", "non-dropping-particle" : "", "parse-names" : false, "suffix" : "" }, { "dropping-particle" : "", "family" : "Konate", "given" : "Mamadou", "non-dropping-particle" : "", "parse-names" : false, "suffix" : "" }, { "dropping-particle" : "", "family" : "Gelmon", "given" : "Lawrence", "non-dropping-particle" : "", "parse-names" : false, "suffix" : "" }, { "dropping-particle" : "", "family" : "Onyango-Ouma", "given" : "Washington", "non-dropping-particle" : "", "parse-names" : false, "suffix" : "" }, { "dropping-particle" : "", "family" : "Lagarde", "given" : "Mylene", "non-dropping-particle" : "", "parse-names" : false, "suffix" : "" }, { "dropping-particle" : "", "family" : "Mills", "given" : "Anne", "non-dropping-particle" : "", "parse-names" : false, "suffix" : "" } ], "container-title" : "Vaccine", "id" : "ITEM-1", "issue" : "48", "issued" : { "date-parts" : [ [ "2014" ] ] }, "page" : "6505-6512", "publisher" : "Elsevier Ltd", "title" : "The impact of introducing new vaccines on the health system: Case studies from six low- and middle-income countries", "type" : "article-journal", "volume" : "32" }, "uris" : [ "http://www.mendeley.com/documents/?uuid=648e784e-0f92-49e5-917a-7568f46baa74" ] } ], "mendeley" : { "formattedCitation" : "[26]", "plainTextFormattedCitation" : "[26]", "previouslyFormattedCitation" : "[26]" }, "properties" : {  }, "schema" : "https://github.com/citation-style-language/schema/raw/master/csl-citation.json" }</w:instrText>
      </w:r>
      <w:r>
        <w:fldChar w:fldCharType="separate"/>
      </w:r>
      <w:bookmarkStart w:id="360" w:name="__Fieldmark__8645_513475976"/>
      <w:r>
        <w:rPr>
          <w:rFonts w:cs="Times New Roman" w:ascii="Times New Roman" w:hAnsi="Times New Roman"/>
        </w:rPr>
        <w:t>[</w:t>
      </w:r>
      <w:bookmarkStart w:id="361" w:name="__Fieldmark__12237_903549581"/>
      <w:r>
        <w:rPr>
          <w:rFonts w:cs="Times New Roman" w:ascii="Times New Roman" w:hAnsi="Times New Roman"/>
        </w:rPr>
        <w:t>26]</w:t>
      </w:r>
      <w:r>
        <w:rPr>
          <w:rFonts w:cs="Times New Roman" w:ascii="Times New Roman" w:hAnsi="Times New Roman"/>
        </w:rPr>
      </w:r>
      <w:r>
        <w:fldChar w:fldCharType="end"/>
      </w:r>
      <w:bookmarkEnd w:id="360"/>
      <w:bookmarkEnd w:id="361"/>
      <w:r>
        <w:rPr>
          <w:rFonts w:cs="Times New Roman" w:ascii="Times New Roman" w:hAnsi="Times New Roman"/>
        </w:rPr>
        <w:t xml:space="preserve">. Interviews with informants at different administrative levels allowed a better understanding of the overall vaccination process already in place and the relationships between central, district and local management of </w:t>
      </w:r>
      <w:del w:id="201" w:author="Unknown Author" w:date="2018-04-12T11:41:00Z">
        <w:r>
          <w:rPr>
            <w:rFonts w:cs="Times New Roman" w:ascii="Times New Roman" w:hAnsi="Times New Roman"/>
          </w:rPr>
          <w:delText xml:space="preserve">the </w:delText>
        </w:r>
      </w:del>
      <w:r>
        <w:rPr>
          <w:rFonts w:cs="Times New Roman" w:ascii="Times New Roman" w:hAnsi="Times New Roman"/>
        </w:rPr>
        <w:t xml:space="preserve">vaccine procurement, delivery and administration. While representatives at </w:t>
      </w:r>
      <w:ins w:id="202" w:author="Unknown Author" w:date="2018-04-12T11:41:00Z">
        <w:r>
          <w:rPr>
            <w:rFonts w:cs="Times New Roman" w:ascii="Times New Roman" w:hAnsi="Times New Roman"/>
          </w:rPr>
          <w:t xml:space="preserve">the </w:t>
        </w:r>
      </w:ins>
      <w:r>
        <w:rPr>
          <w:rFonts w:cs="Times New Roman" w:ascii="Times New Roman" w:hAnsi="Times New Roman"/>
        </w:rPr>
        <w:t xml:space="preserve">national level provided a wider view on both the current state of the vaccination in Mozambique and on the challenges and resources needed for the potential inclusion of the new vaccine, local health professionals provided a day-to-day perspective of the use of resources. Data were complemented with specific information documented on the demonstration programme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"id" : "ITEM-2", "itemData" : { "author" : [ { "dropping-particle" : "", "family" : "Ministry of Health. Republic of Mozambique", "given" : "", "non-dropping-particle" : "", "parse-names" : false, "suffix" : "" } ], "id" : "ITEM-2", "issued" : { "date-parts" : [ [ "2014" ] ] }, "publisher-place" : "Maputo", "title" : "Relat\u00f3rio da implementa\u00e7\u00e3o da tercera dose de HPV a n\u00edvel distrito da Manhi\u00e7a.", "type" : "report" }, "uris" : [ "http://www.mendeley.com/documents/?uuid=ccd5c304-d400-4713-bb2a-1d0c3034f571" ] } ], "mendeley" : { "formattedCitation" : "[22,27]", "plainTextFormattedCitation" : "[22,27]", "previouslyFormattedCitation" : "[22,27]" }, "properties" : {  }, "schema" : "https://github.com/citation-style-language/schema/raw/master/csl-citation.json" }</w:instrText>
      </w:r>
      <w:r>
        <w:fldChar w:fldCharType="separate"/>
      </w:r>
      <w:bookmarkStart w:id="362" w:name="__Fieldmark__8652_513475976"/>
      <w:r>
        <w:rPr>
          <w:rFonts w:cs="Times New Roman" w:ascii="Times New Roman" w:hAnsi="Times New Roman"/>
        </w:rPr>
        <w:t>[</w:t>
      </w:r>
      <w:bookmarkStart w:id="363" w:name="__Fieldmark__12243_903549581"/>
      <w:r>
        <w:rPr>
          <w:rFonts w:cs="Times New Roman" w:ascii="Times New Roman" w:hAnsi="Times New Roman"/>
        </w:rPr>
        <w:t>22,27]</w:t>
      </w:r>
      <w:r>
        <w:rPr>
          <w:rFonts w:cs="Times New Roman" w:ascii="Times New Roman" w:hAnsi="Times New Roman"/>
        </w:rPr>
      </w:r>
      <w:r>
        <w:fldChar w:fldCharType="end"/>
      </w:r>
      <w:bookmarkEnd w:id="362"/>
      <w:bookmarkEnd w:id="363"/>
      <w:r>
        <w:rPr>
          <w:rFonts w:cs="Times New Roman" w:ascii="Times New Roman" w:hAnsi="Times New Roman"/>
        </w:rPr>
        <w:t>, such as the number of schools and health facilities involved in the study, number of 10-year-old girls enrolled at school and censed in the district or data on drop-out rates, coverage and vaccination rounds.</w:t>
      </w:r>
    </w:p>
    <w:p>
      <w:pPr>
        <w:pStyle w:val="Normal"/>
        <w:spacing w:lineRule="auto" w:line="480"/>
        <w:rPr/>
      </w:pPr>
      <w:r>
        <w:rPr>
          <w:rFonts w:cs="Times New Roman" w:ascii="Times New Roman" w:hAnsi="Times New Roman"/>
        </w:rPr>
        <w:t xml:space="preserve">Interviews were carried out face to face, unless not possible. If not possible, interviewees were contacted by phone or e-mail. Key representatives from the Ministry of Health (MoH) and Education (MoE) at central level were interviewed, including the current EPI Chief, EPI logistic </w:t>
      </w:r>
      <w:del w:id="203" w:author="Unknown Author" w:date="2018-04-12T11:41:00Z">
        <w:r>
          <w:rPr>
            <w:rFonts w:cs="Times New Roman" w:ascii="Times New Roman" w:hAnsi="Times New Roman"/>
          </w:rPr>
          <w:delText>responsible</w:delText>
        </w:r>
      </w:del>
      <w:ins w:id="204" w:author="Unknown Author" w:date="2018-04-12T11:41:00Z">
        <w:r>
          <w:rPr>
            <w:rFonts w:cs="Times New Roman" w:ascii="Times New Roman" w:hAnsi="Times New Roman"/>
          </w:rPr>
          <w:t>head</w:t>
        </w:r>
      </w:ins>
      <w:r>
        <w:rPr>
          <w:rFonts w:cs="Times New Roman" w:ascii="Times New Roman" w:hAnsi="Times New Roman"/>
        </w:rPr>
        <w:t xml:space="preserve">, EPI financial </w:t>
      </w:r>
      <w:del w:id="205" w:author="Unknown Author" w:date="2018-04-12T11:41:00Z">
        <w:r>
          <w:rPr>
            <w:rFonts w:cs="Times New Roman" w:ascii="Times New Roman" w:hAnsi="Times New Roman"/>
          </w:rPr>
          <w:delText>responsible</w:delText>
        </w:r>
      </w:del>
      <w:ins w:id="206" w:author="Unknown Author" w:date="2018-04-12T11:41:00Z">
        <w:r>
          <w:rPr>
            <w:rFonts w:cs="Times New Roman" w:ascii="Times New Roman" w:hAnsi="Times New Roman"/>
          </w:rPr>
          <w:t>head</w:t>
        </w:r>
      </w:ins>
      <w:r>
        <w:rPr>
          <w:rFonts w:cs="Times New Roman" w:ascii="Times New Roman" w:hAnsi="Times New Roman"/>
        </w:rPr>
        <w:t xml:space="preserve">, EPI data manager and the responsible of the Special Programs Directorate in the MoE. At district level, the responsible of school health promotion at the Manhiça District Directorate of Education, a medical technician, a physician, the Chief Medical Officer at the Manhiça District Hospital, and representatives of CISM were also interviewed. Key implementation partners involved in the programme, namely Village Reach, Community Development Foundation (FDC) and the </w:t>
      </w:r>
      <w:r>
        <w:rPr>
          <w:rFonts w:ascii="Times New Roman" w:hAnsi="Times New Roman"/>
          <w:color w:val="000000" w:themeColor="text1"/>
        </w:rPr>
        <w:t>United Nations International Children’s Emergency Fund</w:t>
      </w:r>
      <w:r>
        <w:rPr>
          <w:rFonts w:cs="Times New Roman" w:ascii="Times New Roman" w:hAnsi="Times New Roman"/>
        </w:rPr>
        <w:t xml:space="preserve"> (UNICEF), were included in the interviewees group.</w:t>
      </w:r>
    </w:p>
    <w:p>
      <w:pPr>
        <w:pStyle w:val="Normal"/>
        <w:spacing w:lineRule="auto" w:line="480"/>
        <w:rPr/>
      </w:pPr>
      <w:r>
        <w:rPr>
          <w:rFonts w:cs="Times New Roman" w:ascii="Times New Roman" w:hAnsi="Times New Roman"/>
        </w:rPr>
        <w:t xml:space="preserve">Standard structured questionnaires developed by the World Health Organisation (WHO) were administered. Questions inquired about the resources needed for the introduction and management of the new vaccine, including training and mobilisation campaigns, additional resources for the cold-chain and supervision, among others. An inventory of information was sent to interviewees in advance so replies could be prepared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4" w:name="__Fieldmark__8664_513475976"/>
      <w:r>
        <w:rPr>
          <w:rFonts w:cs="Times New Roman" w:ascii="Times New Roman" w:hAnsi="Times New Roman"/>
        </w:rPr>
        <w:t>[</w:t>
      </w:r>
      <w:bookmarkStart w:id="365" w:name="__Fieldmark__12256_903549581"/>
      <w:r>
        <w:rPr>
          <w:rFonts w:cs="Times New Roman" w:ascii="Times New Roman" w:hAnsi="Times New Roman"/>
        </w:rPr>
        <w:t>28]</w:t>
      </w:r>
      <w:r>
        <w:rPr>
          <w:rFonts w:cs="Times New Roman" w:ascii="Times New Roman" w:hAnsi="Times New Roman"/>
        </w:rPr>
      </w:r>
      <w:r>
        <w:fldChar w:fldCharType="end"/>
      </w:r>
      <w:bookmarkEnd w:id="364"/>
      <w:bookmarkEnd w:id="365"/>
      <w:r>
        <w:rPr>
          <w:rFonts w:cs="Times New Roman" w:ascii="Times New Roman" w:hAnsi="Times New Roman"/>
        </w:rPr>
        <w:t xml:space="preserve">. This standardised procedure allowed comparisons with other demonstration programmes held in other low- and lower middle-income countries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366" w:name="__Fieldmark__8671_513475976"/>
      <w:r>
        <w:rPr>
          <w:rFonts w:cs="Times New Roman" w:ascii="Times New Roman" w:hAnsi="Times New Roman"/>
        </w:rPr>
        <w:t>[</w:t>
      </w:r>
      <w:bookmarkStart w:id="367" w:name="__Fieldmark__12261_903549581"/>
      <w:r>
        <w:rPr>
          <w:rFonts w:cs="Times New Roman" w:ascii="Times New Roman" w:hAnsi="Times New Roman"/>
        </w:rPr>
        <w:t>19]</w:t>
      </w:r>
      <w:r>
        <w:rPr>
          <w:rFonts w:cs="Times New Roman" w:ascii="Times New Roman" w:hAnsi="Times New Roman"/>
        </w:rPr>
      </w:r>
      <w:r>
        <w:fldChar w:fldCharType="end"/>
      </w:r>
      <w:bookmarkEnd w:id="366"/>
      <w:bookmarkEnd w:id="367"/>
      <w:r>
        <w:rPr>
          <w:rFonts w:cs="Times New Roman" w:ascii="Times New Roman" w:hAnsi="Times New Roman"/>
        </w:rPr>
        <w:t xml:space="preserve">. Data from questionnaires were incorporated in a spreadsheet prepared by the WHO for analytical and graphical data aggregation </w:t>
      </w:r>
      <w:r>
        <w:fldChar w:fldCharType="begin"/>
      </w:r>
      <w:r>
        <w:instrText>ADDIN CSL_CITATION { "citationItems" : [ { "id" : "ITEM-1", "itemData" : { "URL" : "http://www.who.int/immunization/diseases/hpv/cervical_cancer_costing_tool/en/", "accessed" : { "date-parts" : [ [ "2018", "1", "11" ] ] }, "author" : [ { "dropping-particle" : "", "family" : "World Health Organization", "given" : "", "non-dropping-particle" : "", "parse-names" : false, "suffix" : "" } ], "id" : "ITEM-1", "issued" : { "date-parts" : [ [ "2015" ] ] }, "title" : "WHO Cervical Cancer Prevention and Control Costing Tool (C4P)", "type" : "webpage" }, "uris" : [ "http://www.mendeley.com/documents/?uuid=0d6c3b55-25bb-4d66-a59e-4f0de61c4625" ] } ], "mendeley" : { "formattedCitation" : "[28]", "plainTextFormattedCitation" : "[28]", "previouslyFormattedCitation" : "[28]" }, "properties" : {  }, "schema" : "https://github.com/citation-style-language/schema/raw/master/csl-citation.json" }</w:instrText>
      </w:r>
      <w:r>
        <w:fldChar w:fldCharType="separate"/>
      </w:r>
      <w:bookmarkStart w:id="368" w:name="__Fieldmark__8678_513475976"/>
      <w:r>
        <w:rPr>
          <w:rFonts w:cs="Times New Roman" w:ascii="Times New Roman" w:hAnsi="Times New Roman"/>
        </w:rPr>
        <w:t>[</w:t>
      </w:r>
      <w:bookmarkStart w:id="369" w:name="__Fieldmark__12266_903549581"/>
      <w:r>
        <w:rPr>
          <w:rFonts w:cs="Times New Roman" w:ascii="Times New Roman" w:hAnsi="Times New Roman"/>
        </w:rPr>
        <w:t>28]</w:t>
      </w:r>
      <w:r>
        <w:rPr>
          <w:rFonts w:cs="Times New Roman" w:ascii="Times New Roman" w:hAnsi="Times New Roman"/>
        </w:rPr>
      </w:r>
      <w:r>
        <w:fldChar w:fldCharType="end"/>
      </w:r>
      <w:bookmarkEnd w:id="368"/>
      <w:bookmarkEnd w:id="369"/>
      <w:r>
        <w:rPr>
          <w:rFonts w:cs="Times New Roman" w:ascii="Times New Roman" w:hAnsi="Times New Roman"/>
        </w:rPr>
        <w:t>.</w:t>
      </w:r>
    </w:p>
    <w:p>
      <w:pPr>
        <w:pStyle w:val="Normal"/>
        <w:spacing w:lineRule="auto" w:line="480"/>
        <w:rPr>
          <w:rFonts w:ascii="Times New Roman" w:hAnsi="Times New Roman" w:cs="Times New Roman"/>
        </w:rPr>
      </w:pPr>
      <w:r>
        <w:rPr>
          <w:rFonts w:cs="Times New Roman" w:ascii="Times New Roman" w:hAnsi="Times New Roman"/>
        </w:rPr>
      </w:r>
    </w:p>
    <w:p>
      <w:pPr>
        <w:pStyle w:val="Normal"/>
        <w:tabs>
          <w:tab w:val="left" w:pos="3917" w:leader="none"/>
          <w:tab w:val="left" w:pos="5247" w:leader="none"/>
        </w:tabs>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Costing approach</w:t>
      </w:r>
    </w:p>
    <w:p>
      <w:pPr>
        <w:pStyle w:val="Normal"/>
        <w:spacing w:lineRule="auto" w:line="480"/>
        <w:rPr/>
      </w:pPr>
      <w:r>
        <w:rPr>
          <w:rFonts w:cs="Times New Roman" w:ascii="Times New Roman" w:hAnsi="Times New Roman"/>
        </w:rPr>
        <w:t xml:space="preserve">The costs were initially retrieved in Mozambican Meticais (MT) and later converted to U.S. dollars (US$), using the official exchange rate published by the World Bank for the year 2014 (1US$ = 31.35MT) </w:t>
      </w:r>
      <w:r>
        <w:fldChar w:fldCharType="begin"/>
      </w:r>
      <w:r>
        <w:instrText>ADDIN CSL_CITATION { "citationItems" : [ { "id" : "ITEM-1", "itemData" : { "URL" : "https://data.worldbank.org/indicator/PA.NUS.FCRF?end=2014&amp;start=1960", "accessed" : { "date-parts" : [ [ "2018", "1", "11" ] ] }, "author" : [ { "dropping-particle" : "", "family" : "The World Bank", "given" : "", "non-dropping-particle" : "", "parse-names" : false, "suffix" : "" } ], "id" : "ITEM-1", "issued" : { "date-parts" : [ [ "0" ] ] }, "title" : "Official exchange rate (LCU oer US$, period average)", "type" : "webpage" }, "uris" : [ "http://www.mendeley.com/documents/?uuid=11692311-3fb2-415f-8df9-cc31d855d836" ] } ], "mendeley" : { "formattedCitation" : "[29]", "plainTextFormattedCitation" : "[29]", "previouslyFormattedCitation" : "[29]" }, "properties" : {  }, "schema" : "https://github.com/citation-style-language/schema/raw/master/csl-citation.json" }</w:instrText>
      </w:r>
      <w:r>
        <w:fldChar w:fldCharType="separate"/>
      </w:r>
      <w:bookmarkStart w:id="370" w:name="__Fieldmark__8688_513475976"/>
      <w:r>
        <w:rPr>
          <w:rFonts w:cs="Times New Roman" w:ascii="Times New Roman" w:hAnsi="Times New Roman"/>
        </w:rPr>
        <w:t>[</w:t>
      </w:r>
      <w:bookmarkStart w:id="371" w:name="__Fieldmark__12274_903549581"/>
      <w:r>
        <w:rPr>
          <w:rFonts w:cs="Times New Roman" w:ascii="Times New Roman" w:hAnsi="Times New Roman"/>
        </w:rPr>
        <w:t>29]</w:t>
      </w:r>
      <w:r>
        <w:rPr>
          <w:rFonts w:cs="Times New Roman" w:ascii="Times New Roman" w:hAnsi="Times New Roman"/>
        </w:rPr>
      </w:r>
      <w:r>
        <w:fldChar w:fldCharType="end"/>
      </w:r>
      <w:bookmarkEnd w:id="370"/>
      <w:bookmarkEnd w:id="371"/>
      <w:r>
        <w:rPr>
          <w:rFonts w:cs="Times New Roman" w:ascii="Times New Roman" w:hAnsi="Times New Roman"/>
        </w:rPr>
        <w:t>. A linear depreciation approach was used to capture the value loss of certain products subject to devaluation, such as vehicles, using a standard discount rate of 3%</w:t>
      </w:r>
      <w:ins w:id="207" w:author="Unknown Author" w:date="2018-04-12T11:42:00Z">
        <w:r>
          <w:rPr>
            <w:rFonts w:cs="Times New Roman" w:ascii="Times New Roman" w:hAnsi="Times New Roman"/>
          </w:rPr>
          <w:commentReference w:id="9"/>
        </w:r>
      </w:ins>
      <w:r>
        <w:rPr>
          <w:rFonts w:cs="Times New Roman" w:ascii="Times New Roman" w:hAnsi="Times New Roman"/>
        </w:rPr>
        <w:t xml:space="preserve"> per year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2" w:name="__Fieldmark__8695_513475976"/>
      <w:r>
        <w:rPr>
          <w:rFonts w:cs="Times New Roman" w:ascii="Times New Roman" w:hAnsi="Times New Roman"/>
        </w:rPr>
        <w:t>[</w:t>
      </w:r>
      <w:bookmarkStart w:id="373" w:name="__Fieldmark__12279_903549581"/>
      <w:r>
        <w:rPr>
          <w:rFonts w:cs="Times New Roman" w:ascii="Times New Roman" w:hAnsi="Times New Roman"/>
        </w:rPr>
        <w:t>30]</w:t>
      </w:r>
      <w:r>
        <w:rPr>
          <w:rFonts w:cs="Times New Roman" w:ascii="Times New Roman" w:hAnsi="Times New Roman"/>
        </w:rPr>
      </w:r>
      <w:r>
        <w:fldChar w:fldCharType="end"/>
      </w:r>
      <w:bookmarkEnd w:id="372"/>
      <w:bookmarkEnd w:id="373"/>
      <w:r>
        <w:rPr>
          <w:rFonts w:cs="Times New Roman" w:ascii="Times New Roman" w:hAnsi="Times New Roman"/>
        </w:rPr>
        <w:t>.</w:t>
      </w:r>
    </w:p>
    <w:p>
      <w:pPr>
        <w:pStyle w:val="Normal"/>
        <w:spacing w:lineRule="auto" w:line="480"/>
        <w:rPr/>
      </w:pPr>
      <w:r>
        <w:rPr>
          <w:rFonts w:cs="Times New Roman" w:ascii="Times New Roman" w:hAnsi="Times New Roman"/>
        </w:rPr>
        <w:t xml:space="preserve">The cost estimation of delivering HPV vaccination in Manhiça district through schools was based on a micro-costing approach in which all resources and costs associated to the purchase, storage, distribution and delivery the vaccine were quantified, including all indirect resources and costs related to those actions (such as, training and social mobilisation activities). Following an ingredient approach </w:t>
      </w:r>
      <w:r>
        <w:fldChar w:fldCharType="begin"/>
      </w:r>
      <w:r>
        <w:instrText>ADDIN CSL_CITATION { "citationItems" : [ { "id" : "ITEM-1", "itemData" : { "DOI" : "10.1186/1478-7547-1-1", "ISBN" : "1478-7547 (Electronic)\\n1478-7547 (Linking)", "ISSN" : "14787547", "PMID" : "12773220", "abstract" : "Estimating the costs of health interventions is important to policy-makers\\nfor a number of reasons including the fact that the results can be\\nused as a component in the assessment and improvement of their health\\nsystem performance. Costs can, for example, be used to assess if\\nscarce resources are being used efficiently or whether there is scope\\nto reallocate them in a way that would lead to improvements in population\\nhealth. As part of its WHO-CHOICE project, WHO has been developing\\na database on the overall costs of health interventions in different\\nparts of the world as an input to discussions about priority setting.Programme\\ncosts, defined as costs incurred at the administrative levels outside\\nthe point of delivery of health care to beneficiaries, may comprise\\nan important component of total costs. Cost-effectiveness analysis\\nhas sometimes omitted them if the main focus has been on personal\\ncurative interventions or on the costs of making small changes within\\nthe existing administrative set-up. However, this is not appropriate\\nfor non-personal interventions where programme costs are likely to\\ncomprise a substantial proportion of total costs, or for sectoral\\nanalysis where questions of how best to reallocate all existing health\\nresources, including administrative resources, are being considered.This\\npaper presents a first effort to systematically estimate programme\\ncosts for many health interventions in different regions of the world.\\nThe approach includes the quantification of resource inputs, choice\\nof resource prices, and accounts for different levels of population\\ncoverage. By using an ingredients approach, and making tools available\\non the World Wide Web, analysts can adapt the programme costs reported\\nhere to their local settings. We report results for a selected number\\nof health interventions and show that programme costs vary considerably\\nacross interventions and across regions, and that they can contribute\\nsubstantially to the overall costs of interventions.", "author" : [ { "dropping-particle" : "", "family" : "Johns", "given" : "Benjamin", "non-dropping-particle" : "", "parse-names" : false, "suffix" : "" }, { "dropping-particle" : "", "family" : "Baltussen", "given" : "Rob", "non-dropping-particle" : "", "parse-names" : false, "suffix" : "" }, { "dropping-particle" : "", "family" : "Hutubessy", "given" : "Raymond", "non-dropping-particle" : "", "parse-names" : false, "suffix" : "" } ], "container-title" : "Cost Effectiveness an Resource Allocation", "id" : "ITEM-1", "issued" : { "date-parts" : [ [ "2003" ] ] }, "page" : "1", "title" : "Programme costs in the economic evaluation of health interventions", "type" : "article-journal", "volume" : "1" }, "uris" : [ "http://www.mendeley.com/documents/?uuid=81bfbb87-f805-4e7d-9b57-00e4b0fd1386" ] } ], "mendeley" : { "formattedCitation" : "[30]", "plainTextFormattedCitation" : "[30]", "previouslyFormattedCitation" : "[30]" }, "properties" : {  }, "schema" : "https://github.com/citation-style-language/schema/raw/master/csl-citation.json" }</w:instrText>
      </w:r>
      <w:r>
        <w:fldChar w:fldCharType="separate"/>
      </w:r>
      <w:bookmarkStart w:id="374" w:name="__Fieldmark__8704_513475976"/>
      <w:r>
        <w:rPr>
          <w:rFonts w:cs="Times New Roman" w:ascii="Times New Roman" w:hAnsi="Times New Roman"/>
        </w:rPr>
        <w:t>[</w:t>
      </w:r>
      <w:bookmarkStart w:id="375" w:name="__Fieldmark__12286_903549581"/>
      <w:r>
        <w:rPr>
          <w:rFonts w:cs="Times New Roman" w:ascii="Times New Roman" w:hAnsi="Times New Roman"/>
        </w:rPr>
        <w:t>30]</w:t>
      </w:r>
      <w:r>
        <w:rPr>
          <w:rFonts w:cs="Times New Roman" w:ascii="Times New Roman" w:hAnsi="Times New Roman"/>
        </w:rPr>
      </w:r>
      <w:r>
        <w:fldChar w:fldCharType="end"/>
      </w:r>
      <w:bookmarkEnd w:id="374"/>
      <w:bookmarkEnd w:id="375"/>
      <w:r>
        <w:rPr>
          <w:rFonts w:cs="Times New Roman" w:ascii="Times New Roman" w:hAnsi="Times New Roman"/>
        </w:rPr>
        <w:t xml:space="preserve">, every input was the result of the quantity of resource used multiplied by its correspondent unit cost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 "plainTextFormattedCitation" : "[13]", "previouslyFormattedCitation" : "[13]" }, "properties" : {  }, "schema" : "https://github.com/citation-style-language/schema/raw/master/csl-citation.json" }</w:instrText>
      </w:r>
      <w:r>
        <w:fldChar w:fldCharType="separate"/>
      </w:r>
      <w:bookmarkStart w:id="376" w:name="__Fieldmark__8711_513475976"/>
      <w:r>
        <w:rPr>
          <w:rFonts w:cs="Times New Roman" w:ascii="Times New Roman" w:hAnsi="Times New Roman"/>
        </w:rPr>
        <w:t>[</w:t>
      </w:r>
      <w:bookmarkStart w:id="377" w:name="__Fieldmark__12291_903549581"/>
      <w:r>
        <w:rPr>
          <w:rFonts w:cs="Times New Roman" w:ascii="Times New Roman" w:hAnsi="Times New Roman"/>
        </w:rPr>
        <w:t>13]</w:t>
      </w:r>
      <w:r>
        <w:rPr>
          <w:rFonts w:cs="Times New Roman" w:ascii="Times New Roman" w:hAnsi="Times New Roman"/>
        </w:rPr>
      </w:r>
      <w:r>
        <w:fldChar w:fldCharType="end"/>
      </w:r>
      <w:bookmarkEnd w:id="376"/>
      <w:bookmarkEnd w:id="377"/>
      <w:r>
        <w:rPr>
          <w:rFonts w:cs="Times New Roman" w:ascii="Times New Roman" w:hAnsi="Times New Roman"/>
        </w:rPr>
        <w:t xml:space="preserve">. </w:t>
      </w:r>
    </w:p>
    <w:p>
      <w:pPr>
        <w:pStyle w:val="Normal"/>
        <w:shd w:val="clear" w:color="auto" w:fill="FFFFFF"/>
        <w:spacing w:lineRule="auto" w:line="480"/>
        <w:rPr/>
      </w:pPr>
      <w:r>
        <w:rPr>
          <w:rFonts w:cs="Times New Roman" w:ascii="Times New Roman" w:hAnsi="Times New Roman"/>
        </w:rPr>
        <w:t xml:space="preserve">Costs were differentiated between financial and economic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"mendeley" : { "formattedCitation" : "[18]", "plainTextFormattedCitation" : "[18]", "previouslyFormattedCitation" : "[18]" }, "properties" : {  }, "schema" : "https://github.com/citation-style-language/schema/raw/master/csl-citation.json" }</w:instrText>
      </w:r>
      <w:r>
        <w:fldChar w:fldCharType="separate"/>
      </w:r>
      <w:bookmarkStart w:id="378" w:name="__Fieldmark__8720_513475976"/>
      <w:r>
        <w:rPr>
          <w:rFonts w:cs="Times New Roman" w:ascii="Times New Roman" w:hAnsi="Times New Roman"/>
        </w:rPr>
        <w:t>[</w:t>
      </w:r>
      <w:bookmarkStart w:id="379" w:name="__Fieldmark__12298_903549581"/>
      <w:r>
        <w:rPr>
          <w:rFonts w:cs="Times New Roman" w:ascii="Times New Roman" w:hAnsi="Times New Roman"/>
        </w:rPr>
        <w:t>18]</w:t>
      </w:r>
      <w:r>
        <w:rPr>
          <w:rFonts w:cs="Times New Roman" w:ascii="Times New Roman" w:hAnsi="Times New Roman"/>
        </w:rPr>
      </w:r>
      <w:r>
        <w:fldChar w:fldCharType="end"/>
      </w:r>
      <w:bookmarkEnd w:id="378"/>
      <w:bookmarkEnd w:id="379"/>
      <w:r>
        <w:rPr>
          <w:rFonts w:cs="Times New Roman" w:ascii="Times New Roman" w:hAnsi="Times New Roman"/>
        </w:rPr>
        <w:t xml:space="preserve">. While financial costs referred only to the use of resources paid by the MoH to execute the programme, economic costs also included the use of resources that did not necessarily imply a payment from the MoH. Thus, economic costs consisted of </w:t>
      </w:r>
      <w:del w:id="208" w:author="Unknown Author" w:date="2018-04-12T11:42:00Z">
        <w:r>
          <w:rPr>
            <w:rFonts w:cs="Times New Roman" w:ascii="Times New Roman" w:hAnsi="Times New Roman"/>
          </w:rPr>
          <w:delText xml:space="preserve">the </w:delText>
        </w:r>
      </w:del>
      <w:r>
        <w:rPr>
          <w:rFonts w:cs="Times New Roman" w:ascii="Times New Roman" w:hAnsi="Times New Roman"/>
        </w:rPr>
        <w:t xml:space="preserve">financial costs plus the use of resources already existing in the health system or donated by the partners for the programme. Economic costs that were not considered financial costs were: (1) the vaccine price, as it was subsidised by GAVI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0" w:name="__Fieldmark__8727_513475976"/>
      <w:r>
        <w:rPr>
          <w:rFonts w:cs="Times New Roman" w:ascii="Times New Roman" w:hAnsi="Times New Roman"/>
        </w:rPr>
        <w:t>[</w:t>
      </w:r>
      <w:bookmarkStart w:id="381" w:name="__Fieldmark__12303_903549581"/>
      <w:r>
        <w:rPr>
          <w:rFonts w:cs="Times New Roman" w:ascii="Times New Roman" w:hAnsi="Times New Roman"/>
        </w:rPr>
        <w:t>17,19]</w:t>
      </w:r>
      <w:r>
        <w:rPr>
          <w:rFonts w:cs="Times New Roman" w:ascii="Times New Roman" w:hAnsi="Times New Roman"/>
        </w:rPr>
      </w:r>
      <w:r>
        <w:fldChar w:fldCharType="end"/>
      </w:r>
      <w:bookmarkEnd w:id="380"/>
      <w:bookmarkEnd w:id="381"/>
      <w:r>
        <w:rPr>
          <w:rFonts w:cs="Times New Roman" w:ascii="Times New Roman" w:hAnsi="Times New Roman"/>
        </w:rPr>
        <w:t xml:space="preserve">; (2) the use of cold-chain excess capacity; (3) the time of volunteers or other workers whose salary was not paid by the programme (considered as opportunity cost of time)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"[17,19]", "plainTextFormattedCitation" : "[17,19]", "previouslyFormattedCitation" : "[17,19]" }, "properties" : {  }, "schema" : "https://github.com/citation-style-language/schema/raw/master/csl-citation.json" }</w:instrText>
      </w:r>
      <w:r>
        <w:fldChar w:fldCharType="separate"/>
      </w:r>
      <w:bookmarkStart w:id="382" w:name="__Fieldmark__8734_513475976"/>
      <w:r>
        <w:rPr>
          <w:rFonts w:cs="Times New Roman" w:ascii="Times New Roman" w:hAnsi="Times New Roman"/>
        </w:rPr>
        <w:t>[</w:t>
      </w:r>
      <w:bookmarkStart w:id="383" w:name="__Fieldmark__12309_903549581"/>
      <w:r>
        <w:rPr>
          <w:rFonts w:cs="Times New Roman" w:ascii="Times New Roman" w:hAnsi="Times New Roman"/>
        </w:rPr>
        <w:t>17,19]</w:t>
      </w:r>
      <w:r>
        <w:rPr>
          <w:rFonts w:cs="Times New Roman" w:ascii="Times New Roman" w:hAnsi="Times New Roman"/>
        </w:rPr>
      </w:r>
      <w:r>
        <w:fldChar w:fldCharType="end"/>
      </w:r>
      <w:bookmarkEnd w:id="382"/>
      <w:bookmarkEnd w:id="383"/>
      <w:r>
        <w:rPr>
          <w:rFonts w:cs="Times New Roman" w:ascii="Times New Roman" w:hAnsi="Times New Roman"/>
        </w:rPr>
        <w:t xml:space="preserve">, and (4) capital costs already existing in the system and used during the programme, such as means of transport used for microplanning, training or service delivery. Moreover, distinction was done between incremental or full costs, when relevant </w:t>
      </w:r>
      <w:r>
        <w:fldChar w:fldCharType="begin"/>
      </w:r>
      <w:r>
        <w:instrText>ADDIN CSL_CITATION { "citationItems" : [ { "id" : "ITEM-1", "itemData" : { "author" : [ { "dropping-particle" : "", "family" : "World Health Organization", "given" : "", "non-dropping-particle" : "", "parse-names" : false, "suffix" : "" } ], "id" : "ITEM-1", "issued" : { "date-parts" : [ [ "2002" ] ] }, "publisher-place" : "Geneve", "title" : "Guidelines for estimating costs of introducing new vaccines into the national immunization system", "type" : "report" }, "uris" : [ "http://www.mendeley.com/documents/?uuid=52843b88-17cc-4af5-ad09-7a51b60b7bec" ] } ], "mendeley" : { "formattedCitation" : "[31]", "plainTextFormattedCitation" : "[31]", "previouslyFormattedCitation" : "[31]" }, "properties" : {  }, "schema" : "https://github.com/citation-style-language/schema/raw/master/csl-citation.json" }</w:instrText>
      </w:r>
      <w:r>
        <w:fldChar w:fldCharType="separate"/>
      </w:r>
      <w:bookmarkStart w:id="384" w:name="__Fieldmark__8741_513475976"/>
      <w:r>
        <w:rPr>
          <w:rFonts w:cs="Times New Roman" w:ascii="Times New Roman" w:hAnsi="Times New Roman"/>
        </w:rPr>
        <w:t>[</w:t>
      </w:r>
      <w:bookmarkStart w:id="385" w:name="__Fieldmark__12314_903549581"/>
      <w:r>
        <w:rPr>
          <w:rFonts w:cs="Times New Roman" w:ascii="Times New Roman" w:hAnsi="Times New Roman"/>
        </w:rPr>
        <w:t>31]</w:t>
      </w:r>
      <w:r>
        <w:rPr>
          <w:rFonts w:cs="Times New Roman" w:ascii="Times New Roman" w:hAnsi="Times New Roman"/>
        </w:rPr>
      </w:r>
      <w:r>
        <w:fldChar w:fldCharType="end"/>
      </w:r>
      <w:bookmarkEnd w:id="384"/>
      <w:bookmarkEnd w:id="385"/>
      <w:r>
        <w:rPr>
          <w:rFonts w:cs="Times New Roman" w:ascii="Times New Roman" w:hAnsi="Times New Roman"/>
        </w:rPr>
        <w:t>. While full cost analysis estimated the costs of all resources used for vaccine administration, independently from using already existing or not yet available resources, incremental analysis estimated the costs of all the additional resources not yet available to add a new vaccine, such storage, transport, salaries, etc.</w:t>
      </w:r>
    </w:p>
    <w:p>
      <w:pPr>
        <w:pStyle w:val="Normal"/>
        <w:spacing w:lineRule="auto" w:line="480"/>
        <w:rPr/>
      </w:pPr>
      <w:r>
        <w:rPr>
          <w:rFonts w:cs="Times New Roman" w:ascii="Times New Roman" w:hAnsi="Times New Roman"/>
        </w:rPr>
        <w:t xml:space="preserve">Cold-chain needs were computed according to the available information on the current multi-tiered distribution system and the cold-chain management and needs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"id" : "ITEM-2", "itemData" : { "author" : [ { "dropping-particle" : "", "family" : "Minist\u00e9rio de Sa\u00fade em colabora\u00e7\u00e3o com OMS e UNICEF.", "given" : "", "non-dropping-particle" : "", "parse-names" : false, "suffix" : "" } ], "id" : "ITEM-2",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"[32,33]", "plainTextFormattedCitation" : "[32,33]", "previouslyFormattedCitation" : "[32,33]" }, "properties" : {  }, "schema" : "https://github.com/citation-style-language/schema/raw/master/csl-citation.json" }</w:instrText>
      </w:r>
      <w:r>
        <w:fldChar w:fldCharType="separate"/>
      </w:r>
      <w:bookmarkStart w:id="386" w:name="__Fieldmark__8750_513475976"/>
      <w:r>
        <w:rPr>
          <w:rFonts w:cs="Times New Roman" w:ascii="Times New Roman" w:hAnsi="Times New Roman"/>
        </w:rPr>
        <w:t>[</w:t>
      </w:r>
      <w:bookmarkStart w:id="387" w:name="__Fieldmark__12321_903549581"/>
      <w:r>
        <w:rPr>
          <w:rFonts w:cs="Times New Roman" w:ascii="Times New Roman" w:hAnsi="Times New Roman"/>
        </w:rPr>
        <w:t>32,33]</w:t>
      </w:r>
      <w:r>
        <w:rPr>
          <w:rFonts w:cs="Times New Roman" w:ascii="Times New Roman" w:hAnsi="Times New Roman"/>
        </w:rPr>
      </w:r>
      <w:r>
        <w:fldChar w:fldCharType="end"/>
      </w:r>
      <w:bookmarkEnd w:id="386"/>
      <w:bookmarkEnd w:id="387"/>
      <w:r>
        <w:rPr>
          <w:rFonts w:cs="Times New Roman" w:ascii="Times New Roman" w:hAnsi="Times New Roman"/>
        </w:rPr>
        <w:t xml:space="preserve">. However, in 2014 the cold-chain infrastructure benefited from </w:t>
      </w:r>
      <w:del w:id="209" w:author="Unknown Author" w:date="2018-04-12T11:43:00Z">
        <w:r>
          <w:rPr>
            <w:rFonts w:cs="Times New Roman" w:ascii="Times New Roman" w:hAnsi="Times New Roman"/>
          </w:rPr>
          <w:delText xml:space="preserve">an </w:delText>
        </w:r>
      </w:del>
      <w:r>
        <w:rPr>
          <w:rFonts w:cs="Times New Roman" w:ascii="Times New Roman" w:hAnsi="Times New Roman"/>
        </w:rPr>
        <w:t xml:space="preserve">excess capacity and no extra-investment was required for the sake of the demonstration project </w:t>
      </w:r>
      <w:r>
        <w:fldChar w:fldCharType="begin"/>
      </w:r>
      <w:r>
        <w:instrText>ADDIN CSL_CITATION { "citationItems" : [ { "id" : "ITEM-1", "itemData" : { "author" : [ { "dropping-particle" : "", "family" : "Minist\u00e9rio de Sa\u00fade em colabora\u00e7\u00e3o com OMS e UNICEF.", "given" : "", "non-dropping-particle" : "", "parse-names" : false, "suffix" : "" } ], "id" : "ITEM-1", "issued" : { "date-parts" : [ [ "2014" ] ] }, "publisher-place" : "Maputo", "title" : "Plano de Reabilita\u00e7\u00e3o e Expans\u00e3o da Cadeia de Frio de Vacinas \u2013 Primeira Actualiza\u00e7\u00e3o.", "type" : "report" }, "uris" : [ "http://www.mendeley.com/documents/?uuid=e90d678a-8cb3-4a17-b4c8-c83bdc98386f" ] } ], "mendeley" : { "formattedCitation" : "[33]", "plainTextFormattedCitation" : "[33]", "previouslyFormattedCitation" : "[33]" }, "properties" : {  }, "schema" : "https://github.com/citation-style-language/schema/raw/master/csl-citation.json" }</w:instrText>
      </w:r>
      <w:r>
        <w:fldChar w:fldCharType="separate"/>
      </w:r>
      <w:bookmarkStart w:id="388" w:name="__Fieldmark__8757_513475976"/>
      <w:r>
        <w:rPr>
          <w:rFonts w:cs="Times New Roman" w:ascii="Times New Roman" w:hAnsi="Times New Roman"/>
        </w:rPr>
        <w:t>[</w:t>
      </w:r>
      <w:bookmarkStart w:id="389" w:name="__Fieldmark__12326_903549581"/>
      <w:r>
        <w:rPr>
          <w:rFonts w:cs="Times New Roman" w:ascii="Times New Roman" w:hAnsi="Times New Roman"/>
        </w:rPr>
        <w:t>33]</w:t>
      </w:r>
      <w:r>
        <w:rPr>
          <w:rFonts w:cs="Times New Roman" w:ascii="Times New Roman" w:hAnsi="Times New Roman"/>
        </w:rPr>
      </w:r>
      <w:r>
        <w:fldChar w:fldCharType="end"/>
      </w:r>
      <w:bookmarkEnd w:id="388"/>
      <w:bookmarkEnd w:id="389"/>
      <w:r>
        <w:rPr>
          <w:rFonts w:cs="Times New Roman" w:ascii="Times New Roman" w:hAnsi="Times New Roman"/>
        </w:rPr>
        <w:t xml:space="preserve">. The use of existing excess capacity, therefore considered economic cost, was computed as the vaccine supply chain cost per dose recently estimated for Gaza province in Sothern Mozambique multiplied by the number of doses administered during the programme </w:t>
      </w:r>
      <w:r>
        <w:fldChar w:fldCharType="begin"/>
      </w:r>
      <w:r>
        <w:instrText>ADDIN CSL_CITATION { "citationItems" : [ { "id" : "ITEM-1", "itemData" : { "DOI" : "10.1016/j.vaccine.2016.08.036.", "author" : [ { "dropping-particle" : "", "family" : "Lee", "given" : "Bruce", "non-dropping-particle" : "", "parse-names" : false, "suffix" : "" }, { "dropping-particle" : "", "family" : "Haidari", "given" : "Leila", "non-dropping-particle" : "", "parse-names" : false, "suffix" : "" }, { "dropping-particle" : "", "family" : "Prosser", "given" : "Wendy", "non-dropping-particle" : "", "parse-names" : false, "suffix" : "" }, { "dropping-particle" : "", "family" : "Connor", "given" : "Diana", "non-dropping-particle" : "", "parse-names" : false, "suffix" : "" }, { "dropping-particle" : "", "family" : "Bechtel", "given" : "Ruth", "non-dropping-particle" : "", "parse-names" : false, "suffix" : "" }, { "dropping-particle" : "", "family" : "Dipuve", "given" : "Amelia", "non-dropping-particle" : "", "parse-names" : false, "suffix" : "" }, { "dropping-particle" : "", "family" : "Kassim", "given" : "Hidayat", "non-dropping-particle" : "", "parse-names" : false, "suffix" : "" }, { "dropping-particle" : "", "family" : "Khanlawia", "given" : "Balbina", "non-dropping-particle" : "", "parse-names" : false, "suffix" : "" }, { "dropping-particle" : "", "family" : "Brown", "given" : "Shawn T", "non-dropping-particle" : "", "parse-names" : false, "suffix" : "" } ], "container-title" : "Vaccine", "id" : "ITEM-1", "issue" : "41", "issued" : { "date-parts" : [ [ "2016" ] ] }, "page" : "4998-5004", "title" : "Re-designing the Mozambique vaccine supply chain to improve access to vaccines", "type" : "article-journal", "volume" : "34" }, "uris" : [ "http://www.mendeley.com/documents/?uuid=2fdc2f87-7f2d-4f02-b620-d1a6c30830a3" ] } ], "mendeley" : { "formattedCitation" : "[32]", "plainTextFormattedCitation" : "[32]", "previouslyFormattedCitation" : "[32]" }, "properties" : {  }, "schema" : "https://github.com/citation-style-language/schema/raw/master/csl-citation.json" }</w:instrText>
      </w:r>
      <w:r>
        <w:fldChar w:fldCharType="separate"/>
      </w:r>
      <w:bookmarkStart w:id="390" w:name="__Fieldmark__8764_513475976"/>
      <w:r>
        <w:rPr>
          <w:rFonts w:cs="Times New Roman" w:ascii="Times New Roman" w:hAnsi="Times New Roman"/>
        </w:rPr>
        <w:t>[</w:t>
      </w:r>
      <w:bookmarkStart w:id="391" w:name="__Fieldmark__12331_903549581"/>
      <w:r>
        <w:rPr>
          <w:rFonts w:cs="Times New Roman" w:ascii="Times New Roman" w:hAnsi="Times New Roman"/>
        </w:rPr>
        <w:t>32]</w:t>
      </w:r>
      <w:r>
        <w:rPr>
          <w:rFonts w:cs="Times New Roman" w:ascii="Times New Roman" w:hAnsi="Times New Roman"/>
        </w:rPr>
      </w:r>
      <w:r>
        <w:fldChar w:fldCharType="end"/>
      </w:r>
      <w:bookmarkEnd w:id="390"/>
      <w:bookmarkEnd w:id="391"/>
      <w:r>
        <w:rPr>
          <w:rFonts w:cs="Times New Roman" w:ascii="Times New Roman" w:hAnsi="Times New Roman"/>
        </w:rPr>
        <w:t>.</w:t>
      </w:r>
    </w:p>
    <w:p>
      <w:pPr>
        <w:pStyle w:val="Normal"/>
        <w:spacing w:lineRule="auto" w:line="480"/>
        <w:rPr/>
      </w:pPr>
      <w:r>
        <w:rPr>
          <w:rFonts w:cs="Times New Roman" w:ascii="Times New Roman" w:hAnsi="Times New Roman"/>
        </w:rPr>
        <w:t xml:space="preserve">Costs were additionally </w:t>
      </w:r>
      <w:del w:id="210" w:author="Unknown Author" w:date="2018-04-12T11:43:00Z">
        <w:r>
          <w:rPr>
            <w:rFonts w:cs="Times New Roman" w:ascii="Times New Roman" w:hAnsi="Times New Roman"/>
          </w:rPr>
          <w:delText>distinguished</w:delText>
        </w:r>
      </w:del>
      <w:ins w:id="211" w:author="Unknown Author" w:date="2018-04-12T11:43:00Z">
        <w:r>
          <w:rPr>
            <w:rFonts w:cs="Times New Roman" w:ascii="Times New Roman" w:hAnsi="Times New Roman"/>
          </w:rPr>
          <w:t>segregated</w:t>
        </w:r>
      </w:ins>
      <w:r>
        <w:rPr>
          <w:rFonts w:cs="Times New Roman" w:ascii="Times New Roman" w:hAnsi="Times New Roman"/>
        </w:rPr>
        <w:t xml:space="preserve"> into introduction, recurrent, cold-chain supplement and other costs. Introduction costs, which occur at programme inception, included the value of resources required to start the implementation of the new vaccination. These costs consisted of (1) microplanning and training, (2) social mobilisation and Information, Education and Communication (IEC) activities. Introduction costs were annualised over 5 years as they were assumed to have a mid-term duration as part of vaccine implementation </w:t>
      </w:r>
      <w:r>
        <w:rPr>
          <w:rFonts w:cs="Times New Roman" w:ascii="Times New Roman" w:hAnsi="Times New Roman"/>
          <w:bCs/>
        </w:rPr>
        <w:t>but only the first year amount was imputed to the programme costs</w:t>
      </w:r>
      <w:r>
        <w:rPr>
          <w:rFonts w:cs="Times New Roman" w:ascii="Times New Roman" w:hAnsi="Times New Roman"/>
        </w:rPr>
        <w:t xml:space="preserve"> of the 2014 cycle </w:t>
      </w:r>
      <w:r>
        <w:fldChar w:fldCharType="begin"/>
      </w:r>
      <w:r>
        <w:instrText>ADDIN CSL_CITATION { "citationItems" : [ { "id" : "ITEM-1",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"ITEM-1", "issue" : "137", "issued" : { "date-parts" : [ [ "2012" ] ] }, "title" : "Costs of delivering human papillomavirus vaccination to schoolgirls in Mwanza Region, Tanzania", "type" : "article-journal", "volume" : "10" }, "uris" : [ "http://www.mendeley.com/documents/?uuid=ed423932-e368-45bd-a6ac-7cebceead681" ] }, { "id" : "ITEM-2",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"ITEM-2",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"[13,20]", "plainTextFormattedCitation" : "[13,20]", "previouslyFormattedCitation" : "[13,20]" }, "properties" : {  }, "schema" : "https://github.com/citation-style-language/schema/raw/master/csl-citation.json" }</w:instrText>
      </w:r>
      <w:r>
        <w:fldChar w:fldCharType="separate"/>
      </w:r>
      <w:bookmarkStart w:id="392" w:name="__Fieldmark__8775_513475976"/>
      <w:r>
        <w:rPr>
          <w:rFonts w:cs="Times New Roman" w:ascii="Times New Roman" w:hAnsi="Times New Roman"/>
        </w:rPr>
        <w:t>[</w:t>
      </w:r>
      <w:bookmarkStart w:id="393" w:name="__Fieldmark__12340_903549581"/>
      <w:r>
        <w:rPr>
          <w:rFonts w:cs="Times New Roman" w:ascii="Times New Roman" w:hAnsi="Times New Roman"/>
        </w:rPr>
        <w:t>13,20]</w:t>
      </w:r>
      <w:r>
        <w:rPr>
          <w:rFonts w:cs="Times New Roman" w:ascii="Times New Roman" w:hAnsi="Times New Roman"/>
        </w:rPr>
      </w:r>
      <w:r>
        <w:fldChar w:fldCharType="end"/>
      </w:r>
      <w:bookmarkEnd w:id="392"/>
      <w:bookmarkEnd w:id="393"/>
      <w:r>
        <w:rPr>
          <w:rFonts w:cs="Times New Roman" w:ascii="Times New Roman" w:hAnsi="Times New Roman"/>
        </w:rPr>
        <w:t xml:space="preserve">. Recurrent costs referred to the regular costs for vaccine delivery; such as (1) vaccine procurement, (2) service delivery, (3) supervision and monitoring and (4) other recurrent costs. The vaccine price, as part of the vaccine procurement cost, was considered economic and not financial cost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394" w:name="__Fieldmark__8782_513475976"/>
      <w:r>
        <w:rPr>
          <w:rFonts w:cs="Times New Roman" w:ascii="Times New Roman" w:hAnsi="Times New Roman"/>
        </w:rPr>
        <w:t>[</w:t>
      </w:r>
      <w:bookmarkStart w:id="395" w:name="__Fieldmark__12346_903549581"/>
      <w:r>
        <w:rPr>
          <w:rFonts w:cs="Times New Roman" w:ascii="Times New Roman" w:hAnsi="Times New Roman"/>
        </w:rPr>
        <w:t>17]</w:t>
      </w:r>
      <w:r>
        <w:rPr>
          <w:rFonts w:cs="Times New Roman" w:ascii="Times New Roman" w:hAnsi="Times New Roman"/>
        </w:rPr>
      </w:r>
      <w:r>
        <w:fldChar w:fldCharType="end"/>
      </w:r>
      <w:bookmarkEnd w:id="394"/>
      <w:bookmarkEnd w:id="395"/>
      <w:r>
        <w:rPr>
          <w:rFonts w:cs="Times New Roman" w:ascii="Times New Roman" w:hAnsi="Times New Roman"/>
        </w:rPr>
        <w:t>, while custom clearance, syringes and safety boxes were considered both financial and economic costs.</w:t>
      </w:r>
    </w:p>
    <w:p>
      <w:pPr>
        <w:pStyle w:val="Normal"/>
        <w:spacing w:lineRule="auto" w:line="480"/>
        <w:rPr>
          <w:rFonts w:ascii="Times New Roman" w:hAnsi="Times New Roman" w:cs="Times New Roman"/>
        </w:rPr>
      </w:pPr>
      <w:r>
        <w:rPr>
          <w:rFonts w:cs="Times New Roman" w:ascii="Times New Roman" w:hAnsi="Times New Roman"/>
        </w:rPr>
        <w:t>Finally, estimated costs were expressed as average financial and economic cost per dose and FIG. The number of FIG was defined as the sum of girls being administered 3 doses for the demonstration programme (2014 cycle) and 2 doses for the alternative scenario of the subsequent years. Girls receiving fewer doses were disregarded as FIG. While average cost per dose was the sum of total costs divided by the sum of all doses administered, average cost per FIG was computed as total introduction and cold-chain costs divided by the total target population plus total recurrent costs divided by the number of FIG. Analytically, the average cost per dose and FIG were computed following the expressions: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sz w:val="20"/>
          <w:szCs w:val="20"/>
        </w:rPr>
      </w:pPr>
      <w:r>
        <w:rPr/>
      </w:r>
      <m:oMath xmlns:m="http://schemas.openxmlformats.org/officeDocument/2006/math">
        <m:r>
          <w:rPr>
            <w:rFonts w:ascii="Cambria Math" w:hAnsi="Cambria Math"/>
          </w:rPr>
          <m:t xml:space="preserve">a</m:t>
        </m:r>
        <m:r>
          <w:rPr>
            <w:rFonts w:ascii="Cambria Math" w:hAnsi="Cambria Math"/>
          </w:rPr>
          <m:t xml:space="preserve">v</m:t>
        </m:r>
        <m:r>
          <w:rPr>
            <w:rFonts w:ascii="Cambria Math" w:hAnsi="Cambria Math"/>
          </w:rPr>
          <m:t xml:space="preserve">erage</m:t>
        </m:r>
        <m:r>
          <w:rPr>
            <w:rFonts w:ascii="Cambria Math" w:hAnsi="Cambria Math"/>
          </w:rPr>
          <m:t xml:space="preserve">cost</m:t>
        </m:r>
        <m:r>
          <w:rPr>
            <w:rFonts w:ascii="Cambria Math" w:hAnsi="Cambria Math"/>
          </w:rPr>
          <m:t xml:space="preserve">per</m:t>
        </m:r>
        <m:r>
          <w:rPr>
            <w:rFonts w:ascii="Cambria Math" w:hAnsi="Cambria Math"/>
          </w:rPr>
          <m:t xml:space="preserve">dose</m:t>
        </m:r>
        <m:r>
          <w:rPr>
            <w:rFonts w:ascii="Cambria Math" w:hAnsi="Cambria Math"/>
          </w:rPr>
          <m:t xml:space="preserve">=</m:t>
        </m:r>
        <m:f>
          <m:fPr>
            <m:type m:val="lin"/>
          </m:fPr>
          <m:num>
            <m:nary>
              <m:naryPr>
                <m:chr m:val="∑"/>
                <m:subHide m:val="1"/>
                <m:supHide m:val="1"/>
              </m:naryPr>
              <m:sub/>
              <m:sup/>
              <m:e>
                <m:d>
                  <m:dPr>
                    <m:begChr m:val="("/>
                    <m:endChr m:val=")"/>
                  </m:dPr>
                  <m:e>
                    <m:r>
                      <w:rPr>
                        <w:rFonts w:ascii="Cambria Math" w:hAnsi="Cambria Math"/>
                      </w:rPr>
                      <m:t xml:space="preserve">introduction</m:t>
                    </m:r>
                    <m:r>
                      <w:rPr>
                        <w:rFonts w:ascii="Cambria Math" w:hAnsi="Cambria Math"/>
                      </w:rPr>
                      <m:t xml:space="preserve">costs</m:t>
                    </m:r>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recurrent</m:t>
                    </m:r>
                    <m:r>
                      <w:rPr>
                        <w:rFonts w:ascii="Cambria Math" w:hAnsi="Cambria Math"/>
                      </w:rPr>
                      <m:t xml:space="preserve">cost</m:t>
                    </m:r>
                    <m:r>
                      <w:rPr>
                        <w:rFonts w:ascii="Cambria Math" w:hAnsi="Cambria Math"/>
                      </w:rPr>
                      <m:t xml:space="preserve">s</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number</m:t>
            </m:r>
          </m:den>
        </m:f>
        <m:r>
          <w:rPr>
            <w:rFonts w:ascii="Cambria Math" w:hAnsi="Cambria Math"/>
          </w:rPr>
          <m:t xml:space="preserve">of</m:t>
        </m:r>
        <m:r>
          <w:rPr>
            <w:rFonts w:ascii="Cambria Math" w:hAnsi="Cambria Math"/>
          </w:rPr>
          <m:t xml:space="preserve">doses</m:t>
        </m: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Times New Roman" w:hAnsi="Times New Roman" w:cs="Times New Roman"/>
          <w:i/>
          <w:i/>
        </w:rPr>
      </w:pPr>
      <w:r>
        <w:rPr/>
      </w:r>
      <m:oMath xmlns:m="http://schemas.openxmlformats.org/officeDocument/2006/math">
        <m:r>
          <w:rPr>
            <w:rFonts w:ascii="Cambria Math" w:hAnsi="Cambria Math"/>
          </w:rPr>
          <m:t xml:space="preserve">introduction</m:t>
        </m:r>
        <m:r>
          <w:rPr>
            <w:rFonts w:ascii="Cambria Math" w:hAnsi="Cambria Math"/>
          </w:rPr>
          <m:t xml:space="preserve">costs</m:t>
        </m:r>
        <m:r>
          <w:rPr>
            <w:rFonts w:ascii="Cambria Math" w:hAnsi="Cambria Math"/>
          </w:rPr>
          <m:t xml:space="preserve">=</m:t>
        </m:r>
        <m:r>
          <w:rPr>
            <w:rFonts w:ascii="Cambria Math" w:hAnsi="Cambria Math"/>
          </w:rPr>
          <m:t xml:space="preserve">micropla</m:t>
        </m:r>
        <m:r>
          <w:rPr>
            <w:rFonts w:ascii="Cambria Math" w:hAnsi="Cambria Math"/>
          </w:rPr>
          <m:t xml:space="preserve">nning</m:t>
        </m:r>
        <m:r>
          <w:rPr>
            <w:rFonts w:ascii="Cambria Math" w:hAnsi="Cambria Math"/>
          </w:rPr>
          <m:t xml:space="preserve">costs</m:t>
        </m:r>
        <m:r>
          <w:rPr>
            <w:rFonts w:ascii="Cambria Math" w:hAnsi="Cambria Math"/>
          </w:rPr>
          <m:t xml:space="preserve">+</m:t>
        </m:r>
        <m:r>
          <w:rPr>
            <w:rFonts w:ascii="Cambria Math" w:hAnsi="Cambria Math"/>
          </w:rPr>
          <m:t xml:space="preserve">training</m:t>
        </m:r>
        <m:r>
          <w:rPr>
            <w:rFonts w:ascii="Cambria Math" w:hAnsi="Cambria Math"/>
          </w:rPr>
          <m:t xml:space="preserve">costs</m:t>
        </m:r>
        <m:r>
          <w:rPr>
            <w:rFonts w:ascii="Cambria Math" w:hAnsi="Cambria Math"/>
          </w:rPr>
          <m:t xml:space="preserve">+</m:t>
        </m:r>
        <m:r>
          <w:rPr>
            <w:rFonts w:ascii="Cambria Math" w:hAnsi="Cambria Math"/>
          </w:rPr>
          <m:t xml:space="preserve">IEC</m:t>
        </m:r>
        <m:r>
          <w:rPr>
            <w:rFonts w:ascii="Cambria Math" w:hAnsi="Cambria Math"/>
          </w:rPr>
          <m:t xml:space="preserve">∧</m:t>
        </m:r>
        <m:r>
          <w:rPr>
            <w:rFonts w:ascii="Cambria Math" w:hAnsi="Cambria Math"/>
          </w:rPr>
          <m:t xml:space="preserve">social</m:t>
        </m:r>
        <m:r>
          <w:rPr>
            <w:rFonts w:ascii="Cambria Math" w:hAnsi="Cambria Math"/>
          </w:rPr>
          <m:t xml:space="preserve">mobilization</m:t>
        </m:r>
        <m:r>
          <w:rPr>
            <w:rFonts w:ascii="Cambria Math" w:hAnsi="Cambria Math"/>
          </w:rPr>
          <m:t xml:space="preserve">costs</m:t>
        </m:r>
      </m:oMath>
      <w:r>
        <w:rPr>
          <w:rFonts w:cs="Times New Roman" w:ascii="Times New Roman" w:hAnsi="Times New Roman"/>
          <w:i/>
        </w:rPr>
        <w:t>;</w:t>
      </w:r>
    </w:p>
    <w:p>
      <w:pPr>
        <w:pStyle w:val="Normal"/>
        <w:spacing w:lineRule="auto" w:line="480"/>
        <w:rPr>
          <w:rFonts w:ascii="Times New Roman" w:hAnsi="Times New Roman" w:cs="Times New Roman"/>
          <w:i/>
          <w:i/>
          <w:sz w:val="20"/>
          <w:szCs w:val="20"/>
        </w:rPr>
      </w:pPr>
      <w:r>
        <w:rPr/>
      </w:r>
      <m:oMath xmlns:m="http://schemas.openxmlformats.org/officeDocument/2006/math">
        <m:r>
          <w:rPr>
            <w:rFonts w:ascii="Cambria Math" w:hAnsi="Cambria Math"/>
          </w:rPr>
          <m:t xml:space="preserve">recurrent</m:t>
        </m:r>
        <m:r>
          <w:rPr>
            <w:rFonts w:ascii="Cambria Math" w:hAnsi="Cambria Math"/>
          </w:rPr>
          <m:t xml:space="preserve">costs</m:t>
        </m:r>
        <m:r>
          <w:rPr>
            <w:rFonts w:ascii="Cambria Math" w:hAnsi="Cambria Math"/>
          </w:rPr>
          <m:t xml:space="preserve">=</m:t>
        </m:r>
        <m:r>
          <w:rPr>
            <w:rFonts w:ascii="Cambria Math" w:hAnsi="Cambria Math"/>
          </w:rPr>
          <m:t xml:space="preserve">vaccine</m:t>
        </m:r>
        <m:r>
          <w:rPr>
            <w:rFonts w:ascii="Cambria Math" w:hAnsi="Cambria Math"/>
          </w:rPr>
          <m:t xml:space="preserve">procurement</m:t>
        </m:r>
        <m:r>
          <w:rPr>
            <w:rFonts w:ascii="Cambria Math" w:hAnsi="Cambria Math"/>
          </w:rPr>
          <m:t xml:space="preserve">cost</m:t>
        </m:r>
        <m:r>
          <w:rPr>
            <w:rFonts w:ascii="Cambria Math" w:hAnsi="Cambria Math"/>
          </w:rPr>
          <m:t xml:space="preserve">+</m:t>
        </m:r>
        <m:r>
          <w:rPr>
            <w:rFonts w:ascii="Cambria Math" w:hAnsi="Cambria Math"/>
          </w:rPr>
          <m:t xml:space="preserve">vaccine</m:t>
        </m:r>
        <m:r>
          <w:rPr>
            <w:rFonts w:ascii="Cambria Math" w:hAnsi="Cambria Math"/>
          </w:rPr>
          <m:t xml:space="preserve">delivery</m:t>
        </m:r>
        <m:r>
          <w:rPr>
            <w:rFonts w:ascii="Cambria Math" w:hAnsi="Cambria Math"/>
          </w:rPr>
          <m:t xml:space="preserve">cost</m:t>
        </m:r>
        <m:r>
          <w:rPr>
            <w:rFonts w:ascii="Cambria Math" w:hAnsi="Cambria Math"/>
          </w:rPr>
          <m:t xml:space="preserve">+</m:t>
        </m:r>
        <m:r>
          <w:rPr>
            <w:rFonts w:ascii="Cambria Math" w:hAnsi="Cambria Math"/>
          </w:rPr>
          <m:t xml:space="preserve">supervision</m:t>
        </m:r>
        <m:r>
          <w:rPr>
            <w:rFonts w:ascii="Cambria Math" w:hAnsi="Cambria Math"/>
          </w:rPr>
          <m:t xml:space="preserve">∧</m:t>
        </m:r>
        <m:r>
          <w:rPr>
            <w:rFonts w:ascii="Cambria Math" w:hAnsi="Cambria Math"/>
          </w:rPr>
          <m:t xml:space="preserve">m</m:t>
        </m:r>
        <m:r>
          <w:rPr>
            <w:rFonts w:ascii="Cambria Math" w:hAnsi="Cambria Math"/>
          </w:rPr>
          <m:t xml:space="preserve">onitoring</m:t>
        </m:r>
        <m:r>
          <w:rPr>
            <w:rFonts w:ascii="Cambria Math" w:hAnsi="Cambria Math"/>
          </w:rPr>
          <m:t xml:space="preserve">costs</m:t>
        </m:r>
        <m:r>
          <w:rPr>
            <w:rFonts w:ascii="Cambria Math" w:hAnsi="Cambria Math"/>
          </w:rPr>
          <m:t xml:space="preserve">+</m:t>
        </m:r>
        <m:r>
          <w:rPr>
            <w:rFonts w:ascii="Cambria Math" w:hAnsi="Cambria Math"/>
          </w:rPr>
          <m:t xml:space="preserve">other</m:t>
        </m:r>
        <m:r>
          <w:rPr>
            <w:rFonts w:ascii="Cambria Math" w:hAnsi="Cambria Math"/>
          </w:rPr>
          <m:t xml:space="preserve">costs</m:t>
        </m:r>
      </m:oMath>
      <w:r>
        <w:rPr>
          <w:rFonts w:cs="Times New Roman" w:ascii="Times New Roman" w:hAnsi="Times New Roman"/>
          <w:i/>
          <w:sz w:val="20"/>
          <w:szCs w:val="20"/>
        </w:rPr>
        <w:t>;</w:t>
      </w:r>
    </w:p>
    <w:p>
      <w:pPr>
        <w:pStyle w:val="Normal"/>
        <w:spacing w:lineRule="auto" w:line="480"/>
        <w:rPr>
          <w:rFonts w:ascii="Times New Roman" w:hAnsi="Times New Roman" w:cs="Times New Roman"/>
          <w:sz w:val="20"/>
          <w:szCs w:val="20"/>
        </w:rPr>
      </w:pPr>
      <w:r>
        <w:rPr/>
      </w:r>
      <m:oMath xmlns:m="http://schemas.openxmlformats.org/officeDocument/2006/math">
        <m:eqArr>
          <m:e/>
          <m:e>
            <m:eqArr>
              <m:e>
                <m:r>
                  <w:rPr>
                    <w:rFonts w:ascii="Cambria Math" w:hAnsi="Cambria Math"/>
                  </w:rPr>
                  <m:t xml:space="preserve">introduction</m:t>
                </m:r>
                <m:r>
                  <w:rPr>
                    <w:rFonts w:ascii="Cambria Math" w:hAnsi="Cambria Math"/>
                  </w:rPr>
                  <m:t xml:space="preserve">costs</m:t>
                </m:r>
              </m:e>
              <m:e>
                <m:f>
                  <m:fPr>
                    <m:type m:val="lin"/>
                  </m:fPr>
                  <m:num>
                    <m:nary>
                      <m:naryPr>
                        <m:chr m:val="∑"/>
                        <m:subHide m:val="1"/>
                        <m:supHide m:val="1"/>
                      </m:naryPr>
                      <m:sub/>
                      <m:sup/>
                      <m:e>
                        <m:d>
                          <m:dPr>
                            <m:begChr m:val="("/>
                            <m:sepChr m:val="|"/>
                            <m:endChr m:val=")"/>
                          </m:dPr>
                          <m:e>
                            <m:r>
                              <w:rPr>
                                <w:rFonts w:ascii="Cambria Math" w:hAnsi="Cambria Math"/>
                              </w:rPr>
                              <m:t xml:space="preserve">for</m:t>
                            </m:r>
                            <m:r>
                              <w:rPr>
                                <w:rFonts w:ascii="Cambria Math" w:hAnsi="Cambria Math"/>
                              </w:rPr>
                              <m:t xml:space="preserve">the</m:t>
                            </m:r>
                            <m:r>
                              <w:rPr>
                                <w:rFonts w:ascii="Cambria Math" w:hAnsi="Cambria Math"/>
                              </w:rPr>
                              <m:t xml:space="preserve">1</m:t>
                            </m:r>
                            <m:r>
                              <w:rPr>
                                <w:rFonts w:ascii="Cambria Math" w:hAnsi="Cambria Math"/>
                              </w:rPr>
                              <m:t xml:space="preserve">st</m:t>
                            </m:r>
                            <m:r>
                              <w:rPr>
                                <w:rFonts w:ascii="Cambria Math" w:hAnsi="Cambria Math"/>
                              </w:rPr>
                              <m:t xml:space="preserve">year</m:t>
                            </m:r>
                            <m:r>
                              <w:rPr>
                                <w:rFonts w:ascii="Cambria Math" w:hAnsi="Cambria Math"/>
                              </w:rPr>
                              <m:t xml:space="preserve">+</m:t>
                            </m:r>
                            <m:r>
                              <w:rPr>
                                <w:rFonts w:ascii="Cambria Math" w:hAnsi="Cambria Math"/>
                              </w:rPr>
                              <m:t xml:space="preserve">cold</m:t>
                            </m:r>
                            <m:r>
                              <w:rPr>
                                <w:rFonts w:ascii="Cambria Math" w:hAnsi="Cambria Math"/>
                              </w:rPr>
                              <m:t xml:space="preserve">chain</m:t>
                            </m:r>
                            <m:r>
                              <w:rPr>
                                <w:rFonts w:ascii="Cambria Math" w:hAnsi="Cambria Math"/>
                              </w:rPr>
                              <m:t xml:space="preserve">costs</m:t>
                            </m:r>
                          </m:e>
                        </m:d>
                      </m:e>
                    </m:nary>
                  </m:num>
                  <m:den>
                    <m:r>
                      <w:rPr>
                        <w:rFonts w:ascii="Cambria Math" w:hAnsi="Cambria Math"/>
                      </w:rPr>
                      <m:t xml:space="preserve">target</m:t>
                    </m:r>
                    <m:r>
                      <w:rPr>
                        <w:rFonts w:ascii="Cambria Math" w:hAnsi="Cambria Math"/>
                      </w:rPr>
                      <m:t xml:space="preserve">population</m:t>
                    </m:r>
                  </m:den>
                </m:f>
                <m:r>
                  <w:rPr>
                    <w:rFonts w:ascii="Cambria Math" w:hAnsi="Cambria Math"/>
                  </w:rPr>
                  <m:t xml:space="preserve">+</m:t>
                </m:r>
                <m:f>
                  <m:fPr>
                    <m:type m:val="lin"/>
                  </m:fPr>
                  <m:num>
                    <m:nary>
                      <m:naryPr>
                        <m:chr m:val="∑"/>
                        <m:subHide m:val="1"/>
                        <m:supHide m:val="1"/>
                      </m:naryPr>
                      <m:sub/>
                      <m:sup/>
                      <m:e>
                        <m:r>
                          <w:rPr>
                            <w:rFonts w:ascii="Cambria Math" w:hAnsi="Cambria Math"/>
                          </w:rPr>
                          <m:t xml:space="preserve">recurrent</m:t>
                        </m:r>
                        <m:r>
                          <w:rPr>
                            <w:rFonts w:ascii="Cambria Math" w:hAnsi="Cambria Math"/>
                          </w:rPr>
                          <m:t xml:space="preserve">costs</m:t>
                        </m:r>
                      </m:e>
                    </m:nary>
                  </m:num>
                  <m:den>
                    <m:r>
                      <w:rPr>
                        <w:rFonts w:ascii="Cambria Math" w:hAnsi="Cambria Math"/>
                      </w:rPr>
                      <m:t xml:space="preserve">number</m:t>
                    </m:r>
                    <m:r>
                      <w:rPr>
                        <w:rFonts w:ascii="Cambria Math" w:hAnsi="Cambria Math"/>
                      </w:rPr>
                      <m:t xml:space="preserve">of</m:t>
                    </m:r>
                    <m:r>
                      <w:rPr>
                        <w:rFonts w:ascii="Cambria Math" w:hAnsi="Cambria Math"/>
                      </w:rPr>
                      <m:t xml:space="preserve">FIG</m:t>
                    </m:r>
                  </m:den>
                </m:f>
              </m:e>
              <m:e>
                <m:r>
                  <w:rPr>
                    <w:rFonts w:ascii="Cambria Math" w:hAnsi="Cambria Math"/>
                  </w:rPr>
                  <m:t xml:space="preserve">average</m:t>
                </m:r>
                <m:r>
                  <w:rPr>
                    <w:rFonts w:ascii="Cambria Math" w:hAnsi="Cambria Math"/>
                  </w:rPr>
                  <m:t xml:space="preserve">cost</m:t>
                </m:r>
                <m:r>
                  <w:rPr>
                    <w:rFonts w:ascii="Cambria Math" w:hAnsi="Cambria Math"/>
                  </w:rPr>
                  <m:t xml:space="preserve">per</m:t>
                </m:r>
                <m:r>
                  <w:rPr>
                    <w:rFonts w:ascii="Cambria Math" w:hAnsi="Cambria Math"/>
                  </w:rPr>
                  <m:t xml:space="preserve">FIG</m:t>
                </m:r>
                <m:r>
                  <w:rPr>
                    <w:rFonts w:ascii="Cambria Math" w:hAnsi="Cambria Math"/>
                  </w:rPr>
                  <m:t xml:space="preserve">=</m:t>
                </m:r>
              </m:e>
            </m:eqArr>
          </m:e>
        </m:eqArr>
      </m:oMath>
      <w:r>
        <w:rPr>
          <w:rFonts w:cs="Times New Roman" w:ascii="Times New Roman" w:hAnsi="Times New Roman"/>
          <w:sz w:val="20"/>
          <w:szCs w:val="20"/>
        </w:rPr>
        <w:t>;</w:t>
      </w:r>
    </w:p>
    <w:p>
      <w:pPr>
        <w:pStyle w:val="Normal"/>
        <w:spacing w:lineRule="auto" w:line="480"/>
        <w:rPr>
          <w:rFonts w:ascii="Times New Roman" w:hAnsi="Times New Roman" w:cs="Times New Roman"/>
        </w:rPr>
      </w:pPr>
      <w:r>
        <w:rPr>
          <w:rFonts w:cs="Times New Roman" w:ascii="Times New Roman" w:hAnsi="Times New Roman"/>
        </w:rPr>
        <w:t>being:</w:t>
      </w:r>
    </w:p>
    <w:p>
      <w:pPr>
        <w:pStyle w:val="Normal"/>
        <w:spacing w:lineRule="auto" w:line="480"/>
        <w:rPr>
          <w:rFonts w:ascii="Cambria Math" w:hAnsi="Cambria Math" w:cs="Times New Roman"/>
          <w:i/>
          <w:i/>
          <w:sz w:val="20"/>
          <w:szCs w:val="20"/>
        </w:rPr>
      </w:pPr>
      <w:r>
        <w:rPr/>
      </w:r>
      <m:oMath xmlns:m="http://schemas.openxmlformats.org/officeDocument/2006/math">
        <m:r>
          <w:rPr>
            <w:rFonts w:ascii="Cambria Math" w:hAnsi="Cambria Math"/>
          </w:rPr>
          <m:t xml:space="preserve">target</m:t>
        </m:r>
        <m:r>
          <w:rPr>
            <w:rFonts w:ascii="Cambria Math" w:hAnsi="Cambria Math"/>
          </w:rPr>
          <m:t xml:space="preserve">population</m:t>
        </m:r>
        <m:r>
          <w:rPr>
            <w:rFonts w:ascii="Cambria Math" w:hAnsi="Cambria Math"/>
          </w:rPr>
          <m:t xml:space="preserve">=</m:t>
        </m:r>
        <m:r>
          <w:rPr>
            <w:rFonts w:ascii="Cambria Math" w:hAnsi="Cambria Math"/>
          </w:rPr>
          <m:t xml:space="preserve">number</m:t>
        </m:r>
        <m:r>
          <w:rPr>
            <w:rFonts w:ascii="Cambria Math" w:hAnsi="Cambria Math"/>
          </w:rPr>
          <m:t xml:space="preserve">of</m:t>
        </m:r>
        <m:r>
          <w:rPr>
            <w:rFonts w:ascii="Cambria Math" w:hAnsi="Cambria Math"/>
          </w:rPr>
          <m:t xml:space="preserve">10</m:t>
        </m:r>
        <m:r>
          <w:rPr>
            <w:rFonts w:ascii="Cambria Math" w:hAnsi="Cambria Math"/>
          </w:rPr>
          <m:t xml:space="preserve">years</m:t>
        </m:r>
        <m:r>
          <w:rPr>
            <w:rFonts w:ascii="Cambria Math" w:hAnsi="Cambria Math"/>
          </w:rPr>
          <m:t xml:space="preserve">old</m:t>
        </m:r>
        <m:r>
          <w:rPr>
            <w:rFonts w:ascii="Cambria Math" w:hAnsi="Cambria Math"/>
          </w:rPr>
          <m:t xml:space="preserve">girls</m:t>
        </m:r>
        <m:r>
          <w:rPr>
            <w:rFonts w:ascii="Cambria Math" w:hAnsi="Cambria Math"/>
          </w:rPr>
          <m:t xml:space="preserve">∈</m:t>
        </m:r>
        <m:r>
          <w:rPr>
            <w:rFonts w:ascii="Cambria Math" w:hAnsi="Cambria Math"/>
          </w:rPr>
          <m:t xml:space="preserve">Manhiça</m:t>
        </m:r>
        <m:r>
          <w:rPr>
            <w:rFonts w:ascii="Cambria Math" w:hAnsi="Cambria Math"/>
          </w:rPr>
          <m:t xml:space="preserve">district</m:t>
        </m:r>
      </m:oMath>
      <w:r>
        <w:rPr>
          <w:rFonts w:cs="Times New Roman" w:ascii="Times New Roman" w:hAnsi="Times New Roman"/>
        </w:rPr>
        <w:t>.</w:t>
      </w:r>
    </w:p>
    <w:p>
      <w:pPr>
        <w:pStyle w:val="Normal"/>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rPr/>
      </w:pPr>
      <w:r>
        <w:rPr>
          <w:rFonts w:cs="Times New Roman" w:ascii="Times New Roman" w:hAnsi="Times New Roman"/>
        </w:rPr>
        <w:t>The programme was implemented over two cycles: the lessons learnt in the first cycle helped improve the implementation during the second cycle. Data on resources used were not collected over the second cycle. However, the second cycle inspired an alternative scenario in which it was assumed: (1) a reduction in the number of doses to fully-immunise</w:t>
      </w:r>
      <w:ins w:id="212" w:author="Unknown Author" w:date="2018-04-12T11:44:00Z">
        <w:r>
          <w:rPr>
            <w:rFonts w:cs="Times New Roman" w:ascii="Times New Roman" w:hAnsi="Times New Roman"/>
          </w:rPr>
          <w:t>d</w:t>
        </w:r>
      </w:ins>
      <w:r>
        <w:rPr>
          <w:rFonts w:cs="Times New Roman" w:ascii="Times New Roman" w:hAnsi="Times New Roman"/>
        </w:rPr>
        <w:t xml:space="preserve"> a girl (from 3 to 2), following WHO recommendations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"[34]", "plainTextFormattedCitation" : "[34]", "previouslyFormattedCitation" : "[34]" }, "properties" : {  }, "schema" : "https://github.com/citation-style-language/schema/raw/master/csl-citation.json" }</w:instrText>
      </w:r>
      <w:r>
        <w:fldChar w:fldCharType="separate"/>
      </w:r>
      <w:bookmarkStart w:id="396" w:name="__Fieldmark__8804_513475976"/>
      <w:r>
        <w:rPr>
          <w:rFonts w:cs="Times New Roman" w:ascii="Times New Roman" w:hAnsi="Times New Roman"/>
        </w:rPr>
        <w:t>[</w:t>
      </w:r>
      <w:bookmarkStart w:id="397" w:name="__Fieldmark__12366_903549581"/>
      <w:r>
        <w:rPr>
          <w:rFonts w:cs="Times New Roman" w:ascii="Times New Roman" w:hAnsi="Times New Roman"/>
        </w:rPr>
        <w:t>34]</w:t>
      </w:r>
      <w:r>
        <w:rPr>
          <w:rFonts w:cs="Times New Roman" w:ascii="Times New Roman" w:hAnsi="Times New Roman"/>
        </w:rPr>
      </w:r>
      <w:r>
        <w:fldChar w:fldCharType="end"/>
      </w:r>
      <w:bookmarkEnd w:id="396"/>
      <w:bookmarkEnd w:id="397"/>
      <w:r>
        <w:rPr>
          <w:rFonts w:cs="Times New Roman" w:ascii="Times New Roman" w:hAnsi="Times New Roman"/>
        </w:rPr>
        <w:t>; (2) a decrease in the outreach and supervision teams to 1 vaccinator, 1 teacher and 1 supervisor, as an effort to implement the programme more efficiently; and (3) 2 community visits of outreach services for each health facility catchment area to increase vaccination coverage and reach those girls not attending primary schools (taking into account 12 health facilities in the district a total 24 visits were assumed and the associated costs were considered as economic).</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spacing w:lineRule="auto" w:line="480"/>
        <w:rPr>
          <w:rFonts w:ascii="Times New Roman" w:hAnsi="Times New Roman" w:cs="Times New Roman"/>
          <w:b/>
          <w:b/>
          <w:color w:val="000000" w:themeColor="text1"/>
        </w:rPr>
      </w:pPr>
      <w:bookmarkStart w:id="398" w:name="_Toc460593298"/>
      <w:bookmarkEnd w:id="398"/>
      <w:r>
        <w:rPr>
          <w:rFonts w:cs="Times New Roman" w:ascii="Times New Roman" w:hAnsi="Times New Roman"/>
          <w:b/>
          <w:color w:val="000000" w:themeColor="text1"/>
        </w:rPr>
        <w:t>Results</w:t>
      </w:r>
    </w:p>
    <w:p>
      <w:pPr>
        <w:pStyle w:val="Normal"/>
        <w:spacing w:lineRule="auto" w:line="480"/>
        <w:rPr>
          <w:rFonts w:ascii="Times New Roman" w:hAnsi="Times New Roman" w:cs="Times New Roman"/>
          <w:color w:val="000000" w:themeColor="text1"/>
          <w:u w:val="single"/>
        </w:rPr>
      </w:pPr>
      <w:bookmarkStart w:id="399" w:name="_Toc460593299"/>
      <w:bookmarkEnd w:id="399"/>
      <w:r>
        <w:rPr>
          <w:rFonts w:cs="Times New Roman" w:ascii="Times New Roman" w:hAnsi="Times New Roman"/>
          <w:color w:val="000000" w:themeColor="text1"/>
          <w:u w:val="single"/>
        </w:rPr>
        <w:t>The Manhiça demonstration programme</w:t>
      </w:r>
    </w:p>
    <w:p>
      <w:pPr>
        <w:pStyle w:val="Normal"/>
        <w:spacing w:lineRule="auto" w:line="480"/>
        <w:rPr/>
      </w:pPr>
      <w:r>
        <w:rPr>
          <w:rFonts w:cs="Times New Roman" w:ascii="Times New Roman" w:hAnsi="Times New Roman"/>
        </w:rPr>
        <w:t xml:space="preserve">In total 20 key participants were contacted, of which 13 were interviewed and provided the inputs needed to assess the programme costs. The other 7 were </w:t>
      </w:r>
      <w:del w:id="213" w:author="Unknown Author" w:date="2018-04-12T11:44:00Z">
        <w:r>
          <w:rPr>
            <w:rFonts w:cs="Times New Roman" w:ascii="Times New Roman" w:hAnsi="Times New Roman"/>
          </w:rPr>
          <w:delText>excluded due to</w:delText>
        </w:r>
      </w:del>
      <w:r>
        <w:rPr>
          <w:rFonts w:cs="Times New Roman" w:ascii="Times New Roman" w:hAnsi="Times New Roman"/>
        </w:rPr>
        <w:t xml:space="preserve"> unavailabil</w:t>
      </w:r>
      <w:ins w:id="214" w:author="Unknown Author" w:date="2018-04-12T11:44:00Z">
        <w:r>
          <w:rPr>
            <w:rFonts w:cs="Times New Roman" w:ascii="Times New Roman" w:hAnsi="Times New Roman"/>
          </w:rPr>
          <w:t>e</w:t>
        </w:r>
      </w:ins>
      <w:del w:id="215" w:author="Unknown Author" w:date="2018-04-12T11:44:00Z">
        <w:r>
          <w:rPr>
            <w:rFonts w:cs="Times New Roman" w:ascii="Times New Roman" w:hAnsi="Times New Roman"/>
          </w:rPr>
          <w:delText>ity</w:delText>
        </w:r>
      </w:del>
      <w:r>
        <w:rPr>
          <w:rFonts w:cs="Times New Roman" w:ascii="Times New Roman" w:hAnsi="Times New Roman"/>
        </w:rPr>
        <w:t xml:space="preserve"> to be interviewed. A list of interviewees can be found in the supplementary file (table S1). In Manhiça district the HPV vaccine demonstration programme was executed by the MoH, using resources provided by GAVI following a school-based delivery strategy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00" w:name="__Fieldmark__8821_513475976"/>
      <w:r>
        <w:rPr>
          <w:rFonts w:cs="Times New Roman" w:ascii="Times New Roman" w:hAnsi="Times New Roman"/>
        </w:rPr>
        <w:t>[</w:t>
      </w:r>
      <w:bookmarkStart w:id="401" w:name="__Fieldmark__12379_903549581"/>
      <w:r>
        <w:rPr>
          <w:rFonts w:cs="Times New Roman" w:ascii="Times New Roman" w:hAnsi="Times New Roman"/>
        </w:rPr>
        <w:t>22]</w:t>
      </w:r>
      <w:r>
        <w:rPr>
          <w:rFonts w:cs="Times New Roman" w:ascii="Times New Roman" w:hAnsi="Times New Roman"/>
        </w:rPr>
      </w:r>
      <w:r>
        <w:fldChar w:fldCharType="end"/>
      </w:r>
      <w:bookmarkEnd w:id="400"/>
      <w:bookmarkEnd w:id="401"/>
      <w:r>
        <w:rPr>
          <w:rFonts w:cs="Times New Roman" w:ascii="Times New Roman" w:hAnsi="Times New Roman"/>
        </w:rPr>
        <w:t>. The MoH transferred some of the resources to the programme collaborators, such as CISM and FDC. Supplementary file S2 details the role of the participant institutions.</w:t>
      </w:r>
    </w:p>
    <w:p>
      <w:pPr>
        <w:pStyle w:val="Normal"/>
        <w:spacing w:lineRule="auto" w:line="480"/>
        <w:rPr/>
      </w:pPr>
      <w:r>
        <w:rPr>
          <w:rFonts w:cs="Times New Roman" w:ascii="Times New Roman" w:hAnsi="Times New Roman"/>
        </w:rPr>
        <w:t>UNICEF was the procurement agent for the HPV vaccine and equipment. Bivalent Cervarix® (2 dose vial), presented in packets of 10, was the formulation used for the demonstration programme at a procurement price of 5.70 US$ per dose. We assumed a 10% cost increase associated with custom clearance held by Drugs and Medical Supplies Central (</w:t>
      </w:r>
      <w:r>
        <w:rPr>
          <w:rFonts w:cs="Times New Roman" w:ascii="Times New Roman" w:hAnsi="Times New Roman"/>
          <w:i/>
        </w:rPr>
        <w:t>Central de Medicamentos e Artigos Médicos</w:t>
      </w:r>
      <w:r>
        <w:rPr>
          <w:rFonts w:cs="Times New Roman" w:ascii="Times New Roman" w:hAnsi="Times New Roman"/>
        </w:rPr>
        <w:t>, CMAM), such as boarding inspection, taxes or the transportation cost to the central storage. While the vaccine price was subsidised by GAVI, the costs related to custom clearance were paid by the MoH.</w:t>
      </w:r>
    </w:p>
    <w:p>
      <w:pPr>
        <w:pStyle w:val="Normal"/>
        <w:spacing w:lineRule="auto" w:line="480"/>
        <w:rPr>
          <w:rFonts w:ascii="Times New Roman" w:hAnsi="Times New Roman" w:cs="Times New Roman"/>
        </w:rPr>
      </w:pPr>
      <w:r>
        <w:rPr>
          <w:rFonts w:cs="Times New Roman" w:ascii="Times New Roman" w:hAnsi="Times New Roman"/>
        </w:rPr>
        <w:t xml:space="preserve">The main outputs of the programme implemented in Manhiça district are shown in table 1. Three central level EPI supervisors were trained and assigned to oversee the implementation of the programme. This implied regular supervision visits from central level to the district (64 US$ </w:t>
      </w:r>
      <w:r>
        <w:rPr>
          <w:rFonts w:cs="Times New Roman" w:ascii="Times New Roman" w:hAnsi="Times New Roman"/>
          <w:i/>
        </w:rPr>
        <w:t>per diem</w:t>
      </w:r>
      <w:r>
        <w:rPr>
          <w:rFonts w:cs="Times New Roman" w:ascii="Times New Roman" w:hAnsi="Times New Roman"/>
        </w:rPr>
        <w:t xml:space="preserve">, per person). In total, 21 health professionals composed the active vaccination work force in the district, with an average of 1.75 professionals per health facility catchment area to implement the programme during the first cycle (2014). However, two health professionals were assumed for calculation purposes to reflect the realistic scenario per health facility catchment area. Each health professional received 48 US$ </w:t>
      </w:r>
      <w:r>
        <w:rPr>
          <w:rFonts w:cs="Times New Roman" w:ascii="Times New Roman" w:hAnsi="Times New Roman"/>
          <w:i/>
        </w:rPr>
        <w:t>per diem</w:t>
      </w:r>
      <w:r>
        <w:rPr>
          <w:rFonts w:cs="Times New Roman" w:ascii="Times New Roman" w:hAnsi="Times New Roman"/>
        </w:rPr>
        <w:t xml:space="preserve"> to deliver the vaccine at each school visit. According to district EPI data, the demonstration programme achieved 2,276 FIG (77% of the target population) and an estimated 6,945 doses were administered throughout the 2014 cycle. The remaining 23% were girls who were not enrolled at school or were absent at the time of vaccination. The latter were informed by the teachers that they could get vaccinated at the health facility. In the 2014 cycle, vaccination only occurred at schools. However, efforts were made to also reach and vaccinate girls at the health facility and at the community in case girls were not found at school but only two girls were tracked to get the vaccine at a health facility (in Maluana administrative post) through an active search team.</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897" w:type="dxa"/>
        <w:jc w:val="left"/>
        <w:tblInd w:w="-601" w:type="dxa"/>
        <w:tblCellMar>
          <w:top w:w="0" w:type="dxa"/>
          <w:left w:w="118" w:type="dxa"/>
          <w:bottom w:w="0" w:type="dxa"/>
          <w:right w:w="108" w:type="dxa"/>
        </w:tblCellMar>
        <w:tblLook w:val="04a0" w:noVBand="1" w:noHBand="0" w:lastColumn="0" w:firstColumn="1" w:lastRow="0" w:firstRow="1"/>
      </w:tblPr>
      <w:tblGrid>
        <w:gridCol w:w="4251"/>
        <w:gridCol w:w="2552"/>
        <w:gridCol w:w="2094"/>
      </w:tblGrid>
      <w:tr>
        <w:trPr/>
        <w:tc>
          <w:tcPr>
            <w:tcW w:w="8897" w:type="dxa"/>
            <w:gridSpan w:val="3"/>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Table 1. Annual outputs of the human papillomavirus (HPV) demonstration programme in Manhiça district for the 2014 cycle and the alternative scenario</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before="0" w:after="200"/>
              <w:rPr>
                <w:rFonts w:ascii="Times New Roman" w:hAnsi="Times New Roman" w:cs="Times New Roman"/>
              </w:rPr>
            </w:pPr>
            <w:r>
              <w:rPr>
                <w:rFonts w:cs="Times New Roman" w:ascii="Times New Roman" w:hAnsi="Times New Roman"/>
              </w:rPr>
              <w:t>Annual outputs</w:t>
            </w:r>
          </w:p>
        </w:tc>
        <w:tc>
          <w:tcPr>
            <w:tcW w:w="2552" w:type="dxa"/>
            <w:tcBorders>
              <w:top w:val="nil"/>
              <w:left w:val="nil"/>
              <w:bottom w:val="single" w:sz="4" w:space="0" w:color="000001"/>
              <w:right w:val="nil"/>
              <w:insideH w:val="single" w:sz="4" w:space="0" w:color="000001"/>
              <w:insideV w:val="nil"/>
            </w:tcBorders>
            <w:shd w:fill="auto" w:val="clear"/>
          </w:tcPr>
          <w:p>
            <w:pPr>
              <w:pStyle w:val="Normal"/>
              <w:jc w:val="right"/>
              <w:rPr>
                <w:rFonts w:ascii="Times New Roman" w:hAnsi="Times New Roman" w:cs="Times New Roman"/>
              </w:rPr>
            </w:pPr>
            <w:r>
              <w:rPr>
                <w:rFonts w:cs="Times New Roman" w:ascii="Times New Roman" w:hAnsi="Times New Roman"/>
              </w:rPr>
              <w:t>Demonstration</w:t>
            </w:r>
          </w:p>
          <w:p>
            <w:pPr>
              <w:pStyle w:val="Normal"/>
              <w:jc w:val="right"/>
              <w:rPr>
                <w:rFonts w:ascii="Times New Roman" w:hAnsi="Times New Roman" w:cs="Times New Roman"/>
              </w:rPr>
            </w:pPr>
            <w:r>
              <w:rPr>
                <w:rFonts w:cs="Times New Roman" w:ascii="Times New Roman" w:hAnsi="Times New Roman"/>
              </w:rPr>
              <w:t>Programme (2014 cycle)</w:t>
            </w:r>
          </w:p>
        </w:tc>
        <w:tc>
          <w:tcPr>
            <w:tcW w:w="2094" w:type="dxa"/>
            <w:tcBorders>
              <w:top w:val="nil"/>
              <w:left w:val="nil"/>
              <w:bottom w:val="single" w:sz="4" w:space="0" w:color="000001"/>
              <w:right w:val="nil"/>
              <w:insideH w:val="single" w:sz="4" w:space="0" w:color="000001"/>
              <w:insideV w:val="nil"/>
            </w:tcBorders>
            <w:shd w:fill="auto" w:val="clear"/>
          </w:tcPr>
          <w:p>
            <w:pPr>
              <w:pStyle w:val="Normal"/>
              <w:spacing w:before="0" w:after="200"/>
              <w:jc w:val="right"/>
              <w:rPr>
                <w:rFonts w:ascii="Times New Roman" w:hAnsi="Times New Roman" w:cs="Times New Roman"/>
              </w:rPr>
            </w:pPr>
            <w:r>
              <w:rPr>
                <w:rFonts w:cs="Times New Roman" w:ascii="Times New Roman" w:hAnsi="Times New Roman"/>
              </w:rPr>
              <w:t>Alternative scenario (subsequent cycles)</w:t>
            </w:r>
          </w:p>
        </w:tc>
      </w:tr>
      <w:tr>
        <w:trPr/>
        <w:tc>
          <w:tcPr>
            <w:tcW w:w="425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supervisors trained</w:t>
            </w:r>
          </w:p>
        </w:tc>
        <w:tc>
          <w:tcPr>
            <w:tcW w:w="2552"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w:t>
            </w:r>
          </w:p>
        </w:tc>
        <w:tc>
          <w:tcPr>
            <w:tcW w:w="2094"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per health facility</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vaccinators at schools</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vaccination facility catchment area</w:t>
            </w:r>
            <w:r>
              <w:rPr>
                <w:rFonts w:cs="Times New Roman" w:ascii="Times New Roman" w:hAnsi="Times New Roman"/>
                <w:u w:val="single"/>
                <w:vertAlign w:val="superscript"/>
              </w:rPr>
              <w:t>1</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12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start-up primary schools</w:t>
            </w:r>
            <w:r>
              <w:rPr>
                <w:rFonts w:cs="Times New Roman" w:ascii="Times New Roman" w:hAnsi="Times New Roman"/>
                <w:u w:val="single"/>
                <w:vertAlign w:val="superscript"/>
              </w:rPr>
              <w:t>2</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92</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92</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Number of fully-immunised girls (FIG)</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2,276</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2,791</w:t>
            </w:r>
          </w:p>
        </w:tc>
      </w:tr>
      <w:tr>
        <w:trPr/>
        <w:tc>
          <w:tcPr>
            <w:tcW w:w="425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Total doses of vaccine administered</w:t>
            </w:r>
            <w:r>
              <w:rPr>
                <w:rFonts w:cs="Times New Roman" w:ascii="Times New Roman" w:hAnsi="Times New Roman"/>
                <w:u w:val="single"/>
                <w:vertAlign w:val="superscript"/>
              </w:rPr>
              <w:t>3</w:t>
            </w:r>
          </w:p>
        </w:tc>
        <w:tc>
          <w:tcPr>
            <w:tcW w:w="2552"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6,945</w:t>
            </w:r>
          </w:p>
        </w:tc>
        <w:tc>
          <w:tcPr>
            <w:tcW w:w="2094"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i/>
                <w:i/>
                <w:iCs/>
              </w:rPr>
            </w:pPr>
            <w:r>
              <w:rPr>
                <w:rFonts w:cs="Times New Roman" w:ascii="Times New Roman" w:hAnsi="Times New Roman"/>
              </w:rPr>
              <w:t>5,648</w:t>
            </w:r>
          </w:p>
        </w:tc>
      </w:tr>
      <w:tr>
        <w:trPr/>
        <w:tc>
          <w:tcPr>
            <w:tcW w:w="425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i/>
                <w:i/>
                <w:iCs/>
              </w:rPr>
            </w:pPr>
            <w:r>
              <w:rPr>
                <w:rFonts w:cs="Times New Roman" w:ascii="Times New Roman" w:hAnsi="Times New Roman"/>
              </w:rPr>
              <w:t>% total target population fully immunised</w:t>
            </w:r>
            <w:r>
              <w:rPr>
                <w:rFonts w:cs="Times New Roman" w:ascii="Times New Roman" w:hAnsi="Times New Roman"/>
                <w:vertAlign w:val="superscript"/>
              </w:rPr>
              <w:t>4</w:t>
            </w:r>
          </w:p>
        </w:tc>
        <w:tc>
          <w:tcPr>
            <w:tcW w:w="2552"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rPr>
            </w:pPr>
            <w:r>
              <w:rPr>
                <w:rFonts w:cs="Times New Roman" w:ascii="Times New Roman" w:hAnsi="Times New Roman"/>
              </w:rPr>
              <w:t>77%</w:t>
            </w:r>
          </w:p>
        </w:tc>
        <w:tc>
          <w:tcPr>
            <w:tcW w:w="2094" w:type="dxa"/>
            <w:tcBorders>
              <w:top w:val="nil"/>
              <w:left w:val="nil"/>
              <w:bottom w:val="single" w:sz="4" w:space="0" w:color="000001"/>
              <w:right w:val="nil"/>
              <w:insideH w:val="single" w:sz="4" w:space="0" w:color="000001"/>
              <w:insideV w:val="nil"/>
            </w:tcBorders>
            <w:shd w:fill="auto" w:val="clear"/>
          </w:tcPr>
          <w:p>
            <w:pPr>
              <w:pStyle w:val="Normal"/>
              <w:tabs>
                <w:tab w:val="right" w:pos="1202" w:leader="none"/>
              </w:tabs>
              <w:spacing w:lineRule="auto" w:line="480"/>
              <w:jc w:val="right"/>
              <w:rPr>
                <w:rFonts w:ascii="Times New Roman" w:hAnsi="Times New Roman" w:cs="Times New Roman"/>
                <w:i/>
                <w:i/>
                <w:iCs/>
              </w:rPr>
            </w:pPr>
            <w:r>
              <w:rPr>
                <w:rFonts w:cs="Times New Roman" w:ascii="Times New Roman" w:hAnsi="Times New Roman"/>
              </w:rPr>
              <w:t>94%</w:t>
            </w:r>
          </w:p>
        </w:tc>
      </w:tr>
      <w:tr>
        <w:trPr/>
        <w:tc>
          <w:tcPr>
            <w:tcW w:w="8897" w:type="dxa"/>
            <w:gridSpan w:val="3"/>
            <w:tcBorders>
              <w:top w:val="single" w:sz="4" w:space="0" w:color="000001"/>
              <w:left w:val="nil"/>
              <w:bottom w:val="nil"/>
              <w:right w:val="nil"/>
              <w:insideH w:val="nil"/>
              <w:insideV w:val="nil"/>
            </w:tcBorders>
            <w:shd w:fill="auto" w:val="clear"/>
          </w:tcPr>
          <w:p>
            <w:pPr>
              <w:pStyle w:val="Normal"/>
              <w:rPr>
                <w:rFonts w:ascii="Times New Roman" w:hAnsi="Times New Roman" w:cs="Times New Roman"/>
                <w:i/>
                <w:i/>
                <w:u w:val="single"/>
              </w:rPr>
            </w:pPr>
            <w:r>
              <w:rPr>
                <w:rFonts w:cs="Times New Roman" w:ascii="Times New Roman" w:hAnsi="Times New Roman"/>
                <w:i/>
                <w:u w:val="single"/>
              </w:rPr>
              <w:t xml:space="preserve">Notes: </w:t>
            </w:r>
          </w:p>
          <w:p>
            <w:pPr>
              <w:pStyle w:val="Normal"/>
              <w:rPr>
                <w:rFonts w:ascii="Times New Roman" w:hAnsi="Times New Roman" w:cs="Times New Roman"/>
                <w:i/>
                <w:i/>
              </w:rPr>
            </w:pPr>
            <w:r>
              <w:rPr>
                <w:rFonts w:cs="Times New Roman" w:ascii="Times New Roman" w:hAnsi="Times New Roman"/>
                <w:i/>
                <w:vertAlign w:val="superscript"/>
              </w:rPr>
              <w:t>1</w:t>
            </w:r>
            <w:r>
              <w:rPr>
                <w:rFonts w:cs="Times New Roman" w:ascii="Times New Roman" w:hAnsi="Times New Roman"/>
                <w:i/>
              </w:rPr>
              <w:t xml:space="preserve"> A total of 12 health facilities with EPI services were present in the district.</w:t>
            </w:r>
          </w:p>
          <w:p>
            <w:pPr>
              <w:pStyle w:val="Normal"/>
              <w:rPr>
                <w:rFonts w:ascii="Times New Roman" w:hAnsi="Times New Roman" w:cs="Times New Roman"/>
                <w:i/>
                <w:i/>
              </w:rPr>
            </w:pPr>
            <w:r>
              <w:rPr>
                <w:rFonts w:cs="Times New Roman" w:ascii="Times New Roman" w:hAnsi="Times New Roman"/>
                <w:i/>
                <w:vertAlign w:val="superscript"/>
              </w:rPr>
              <w:t>2</w:t>
            </w:r>
            <w:r>
              <w:rPr>
                <w:rFonts w:cs="Times New Roman" w:ascii="Times New Roman" w:hAnsi="Times New Roman"/>
                <w:i/>
              </w:rPr>
              <w:t>92 schools according to the official list of MoE (table S3).</w:t>
            </w:r>
          </w:p>
          <w:p>
            <w:pPr>
              <w:pStyle w:val="Normal"/>
              <w:rPr>
                <w:rFonts w:ascii="Times New Roman" w:hAnsi="Times New Roman" w:cs="Times New Roman"/>
                <w:i/>
                <w:i/>
              </w:rPr>
            </w:pPr>
            <w:r>
              <w:rPr>
                <w:rFonts w:cs="Times New Roman" w:ascii="Times New Roman" w:hAnsi="Times New Roman"/>
                <w:i/>
                <w:vertAlign w:val="superscript"/>
              </w:rPr>
              <w:t>3</w:t>
            </w:r>
            <w:r>
              <w:rPr>
                <w:rFonts w:cs="Times New Roman" w:ascii="Times New Roman" w:hAnsi="Times New Roman"/>
                <w:i/>
              </w:rPr>
              <w:t>Number of fully-immunised girls (FIG) and doses obtained from district coverage data.</w:t>
            </w:r>
          </w:p>
          <w:p>
            <w:pPr>
              <w:pStyle w:val="Normal"/>
              <w:rPr>
                <w:rFonts w:ascii="Times New Roman" w:hAnsi="Times New Roman" w:cs="Times New Roman"/>
              </w:rPr>
            </w:pPr>
            <w:r>
              <w:rPr>
                <w:rFonts w:cs="Times New Roman" w:ascii="Times New Roman" w:hAnsi="Times New Roman"/>
                <w:i/>
                <w:vertAlign w:val="superscript"/>
              </w:rPr>
              <w:t>4</w:t>
            </w:r>
            <w:r>
              <w:rPr>
                <w:rFonts w:cs="Times New Roman" w:ascii="Times New Roman" w:hAnsi="Times New Roman"/>
                <w:i/>
              </w:rPr>
              <w:t>3 doses needed to fully-immunise a girl during the 2014 cycle and 2 for the alternative scenario.</w:t>
            </w:r>
          </w:p>
        </w:tc>
      </w:tr>
    </w:tbl>
    <w:p>
      <w:pPr>
        <w:pStyle w:val="Normal"/>
        <w:spacing w:lineRule="auto" w:line="480"/>
        <w:rPr>
          <w:rFonts w:ascii="Times New Roman" w:hAnsi="Times New Roman" w:cs="Times New Roman"/>
          <w:u w:val="single"/>
        </w:rPr>
      </w:pPr>
      <w:r>
        <w:rPr>
          <w:rFonts w:cs="Times New Roman" w:ascii="Times New Roman" w:hAnsi="Times New Roman"/>
          <w:u w:val="single"/>
        </w:rPr>
      </w:r>
    </w:p>
    <w:p>
      <w:pPr>
        <w:pStyle w:val="Normal"/>
        <w:spacing w:lineRule="auto" w:line="480"/>
        <w:rPr>
          <w:rFonts w:ascii="Times New Roman" w:hAnsi="Times New Roman" w:cs="Times New Roman"/>
          <w:color w:val="000000" w:themeColor="text1"/>
          <w:u w:val="single"/>
        </w:rPr>
      </w:pPr>
      <w:bookmarkStart w:id="402" w:name="_Toc460593305"/>
      <w:bookmarkEnd w:id="402"/>
      <w:r>
        <w:rPr>
          <w:rFonts w:cs="Times New Roman" w:ascii="Times New Roman" w:hAnsi="Times New Roman"/>
          <w:color w:val="000000" w:themeColor="text1"/>
          <w:u w:val="single"/>
        </w:rPr>
        <w:t>Cost of the HPV vaccination first cycle implemented in Manhiça district</w:t>
      </w:r>
    </w:p>
    <w:p>
      <w:pPr>
        <w:pStyle w:val="Normal"/>
        <w:spacing w:lineRule="auto" w:line="480"/>
        <w:rPr>
          <w:rFonts w:ascii="Times New Roman" w:hAnsi="Times New Roman" w:cs="Times New Roman"/>
        </w:rPr>
      </w:pPr>
      <w:r>
        <w:rPr>
          <w:rFonts w:cs="Times New Roman" w:ascii="Times New Roman" w:hAnsi="Times New Roman"/>
        </w:rPr>
        <w:t xml:space="preserve">The total economic cost of the programme for the 2014 cycle was 122,170 US$ of which 42,163 US$ were financial. These amounts represent the total value of the resources used in the district of Manhiça in 2014, including resources used at the national, provincial and district levels, and costs at health facilities and schools. Total amounts included vaccination at schools with an achieved coverage of 77%. No improvement in </w:t>
      </w:r>
      <w:del w:id="216" w:author="Unknown Author" w:date="2018-04-12T11:45:00Z">
        <w:r>
          <w:rPr>
            <w:rFonts w:cs="Times New Roman" w:ascii="Times New Roman" w:hAnsi="Times New Roman"/>
          </w:rPr>
          <w:delText xml:space="preserve">the </w:delText>
        </w:r>
      </w:del>
      <w:r>
        <w:rPr>
          <w:rFonts w:cs="Times New Roman" w:ascii="Times New Roman" w:hAnsi="Times New Roman"/>
        </w:rPr>
        <w:t>cold-chain capacities was required to implement the programme in Manhiça district due to existing space capacity.</w:t>
      </w:r>
    </w:p>
    <w:p>
      <w:pPr>
        <w:pStyle w:val="Normal"/>
        <w:spacing w:lineRule="auto" w:line="480"/>
        <w:rPr>
          <w:rFonts w:ascii="Times New Roman" w:hAnsi="Times New Roman" w:cs="Times New Roman"/>
        </w:rPr>
      </w:pPr>
      <w:r>
        <w:rPr>
          <w:rFonts w:cs="Times New Roman" w:ascii="Times New Roman" w:hAnsi="Times New Roman"/>
        </w:rPr>
      </w:r>
    </w:p>
    <w:tbl>
      <w:tblPr>
        <w:tblStyle w:val="Tablaconcuadrcula"/>
        <w:tblW w:w="8956" w:type="dxa"/>
        <w:jc w:val="left"/>
        <w:tblInd w:w="0" w:type="dxa"/>
        <w:tblCellMar>
          <w:top w:w="0" w:type="dxa"/>
          <w:left w:w="113" w:type="dxa"/>
          <w:bottom w:w="0" w:type="dxa"/>
          <w:right w:w="108" w:type="dxa"/>
        </w:tblCellMar>
        <w:tblLook w:val="04a0" w:noVBand="1" w:noHBand="0" w:lastColumn="0" w:firstColumn="1" w:lastRow="0" w:firstRow="1"/>
      </w:tblPr>
      <w:tblGrid>
        <w:gridCol w:w="3731"/>
        <w:gridCol w:w="931"/>
        <w:gridCol w:w="1527"/>
        <w:gridCol w:w="201"/>
        <w:gridCol w:w="1371"/>
        <w:gridCol w:w="1195"/>
      </w:tblGrid>
      <w:tr>
        <w:trPr/>
        <w:tc>
          <w:tcPr>
            <w:tcW w:w="8956" w:type="dxa"/>
            <w:gridSpan w:val="6"/>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 xml:space="preserve">Table 2: Financial and economic costs per category of the 2014 vaccination cycle (US$). </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458"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67"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b/>
                <w:bCs/>
                <w:vertAlign w:val="superscript"/>
              </w:rPr>
              <w:t>1</w:t>
            </w:r>
            <w:r>
              <w:rPr>
                <w:rFonts w:cs="Times New Roman" w:ascii="Times New Roman" w:hAnsi="Times New Roman"/>
                <w:b/>
              </w:rPr>
              <w:tab/>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5.89%</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5.10%</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bCs/>
                <w:vertAlign w:val="superscript"/>
              </w:rPr>
              <w:t>2</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7.36%</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2.99%</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13.25%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8.09%</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r>
              <w:rPr>
                <w:rFonts w:cs="Times New Roman" w:ascii="Times New Roman" w:hAnsi="Times New Roman"/>
                <w:bCs/>
                <w:vertAlign w:val="superscript"/>
              </w:rPr>
              <w:t>3</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12,774</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30.30%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64,237</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52.58%</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8,804</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20.88%</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29,367</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24.04%</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31.04%</w:t>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13,086</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10.71%</w:t>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4.54%</w:t>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1.57%</w:t>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36,577</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86.75%</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108,604</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88.90%</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r>
              <w:rPr>
                <w:rFonts w:cs="Times New Roman" w:ascii="Times New Roman" w:hAnsi="Times New Roman"/>
                <w:b/>
                <w:bCs/>
                <w:vertAlign w:val="superscript"/>
              </w:rPr>
              <w:t>3</w:t>
            </w:r>
          </w:p>
        </w:tc>
        <w:tc>
          <w:tcPr>
            <w:tcW w:w="93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93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728"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1"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3,681</w:t>
            </w:r>
          </w:p>
        </w:tc>
        <w:tc>
          <w:tcPr>
            <w:tcW w:w="1195"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3.01%</w:t>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731"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93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42,163</w:t>
            </w:r>
          </w:p>
        </w:tc>
        <w:tc>
          <w:tcPr>
            <w:tcW w:w="1728"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1"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122,170</w:t>
            </w:r>
          </w:p>
        </w:tc>
        <w:tc>
          <w:tcPr>
            <w:tcW w:w="1195"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8956" w:type="dxa"/>
            <w:gridSpan w:val="6"/>
            <w:tcBorders>
              <w:top w:val="nil"/>
              <w:left w:val="nil"/>
              <w:bottom w:val="single" w:sz="4" w:space="0" w:color="000001"/>
              <w:right w:val="nil"/>
              <w:insideH w:val="single" w:sz="4" w:space="0" w:color="000001"/>
              <w:insideV w:val="nil"/>
            </w:tcBorders>
            <w:shd w:fill="auto" w:val="clear"/>
          </w:tcPr>
          <w:p>
            <w:pPr>
              <w:pStyle w:val="Normal"/>
              <w:rPr>
                <w:rFonts w:ascii="Times New Roman" w:hAnsi="Times New Roman" w:cs="Times New Roman"/>
                <w:i/>
                <w:i/>
              </w:rPr>
            </w:pPr>
            <w:r>
              <w:rPr>
                <w:rFonts w:cs="Times New Roman" w:ascii="Times New Roman" w:hAnsi="Times New Roman"/>
                <w:i/>
                <w:u w:val="single"/>
              </w:rPr>
              <w:t>Note</w:t>
            </w:r>
            <w:r>
              <w:rPr>
                <w:rFonts w:cs="Times New Roman" w:ascii="Times New Roman" w:hAnsi="Times New Roman"/>
                <w:i/>
              </w:rPr>
              <w:t xml:space="preserve">: </w:t>
            </w:r>
          </w:p>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rPr>
            </w:pPr>
            <w:r>
              <w:rPr>
                <w:rFonts w:cs="Times New Roman" w:ascii="Times New Roman" w:hAnsi="Times New Roman"/>
                <w:i/>
                <w:iCs/>
                <w:vertAlign w:val="superscript"/>
              </w:rPr>
              <w:t>2</w:t>
            </w:r>
            <w:r>
              <w:rPr>
                <w:rFonts w:cs="Times New Roman" w:ascii="Times New Roman" w:hAnsi="Times New Roman"/>
                <w:i/>
              </w:rPr>
              <w:t>IEC: Information, Education and Communication.</w:t>
            </w:r>
          </w:p>
          <w:p>
            <w:pPr>
              <w:pStyle w:val="Normal"/>
              <w:rPr>
                <w:rFonts w:ascii="Times New Roman" w:hAnsi="Times New Roman" w:cs="Times New Roman"/>
                <w:i/>
                <w:i/>
              </w:rPr>
            </w:pPr>
            <w:r>
              <w:rPr>
                <w:rFonts w:cs="Times New Roman" w:ascii="Times New Roman" w:hAnsi="Times New Roman"/>
                <w:i/>
                <w:iCs/>
                <w:vertAlign w:val="superscript"/>
              </w:rPr>
              <w:t>3</w:t>
            </w:r>
            <w:r>
              <w:rPr>
                <w:rFonts w:cs="Times New Roman" w:ascii="Times New Roman" w:hAnsi="Times New Roman"/>
                <w:i/>
              </w:rPr>
              <w:t>The total vaccine procurement economic cost (64,237 US$) was the sum of custom clearance, syringes and safety boxes costs (12,774 US$), considered both financial and economic costs, and the vaccine price (56,610 US$), treated as economic cost. The use of existing cold-chain excess capacity (3,681 US$) was considered economic cost. Other economic costs were capital and labour costs, which incurred in opportunity costs.</w:t>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pPr>
      <w:r>
        <w:rPr>
          <w:rFonts w:cs="Times New Roman" w:ascii="Times New Roman" w:hAnsi="Times New Roman"/>
        </w:rPr>
        <w:t xml:space="preserve">Table 2 presents the total financial and economic costs of the HPV vaccination programme for the 2014 cycle. Concerning financial costs, most of the resources used were recurrent costs (36,577 US$) and consisted of the vaccine procurement (12,774 US$), service delivery (8,804 US$), monitoring and evaluation (13,086 US$) and waste management (1,914 US$). Introduction financial costs attributable to the 2014 cycle were 5,585 US$ and consisted of microplanning and training activities (2,484 US$) and social mobilisation and IEC activities (3,101 US$). When considering economic costs, the total cost of the programme grew to 122,170 US$. This increase (80,007 US$) was mainly explained by adding the vaccine price (51,463 US$) to the procurement economic cost (64,237 US$) and the use of existing cold-chain excess capacity in Manhiça district (3,681 US$). The increase in the economic costs of the service delivery (20,563 US$), microplanning and training activities (3,748 US$) and social mobilisation and IEC activities (552 US$) was due to the opportunity cost of labour and vehicles already existing in the health system. A graphical representation of the economic costs is shown in figure 1. The vaccine procurement represented up to 53% of the total economic cost, being the largest recurrent and total economic cost of the programme. </w:t>
      </w:r>
      <w:ins w:id="217" w:author="Unknown Author" w:date="2018-04-12T11:46:00Z">
        <w:r>
          <w:rPr>
            <w:rFonts w:cs="Times New Roman" w:ascii="Times New Roman" w:hAnsi="Times New Roman"/>
          </w:rPr>
          <w:t>S</w:t>
        </w:r>
      </w:ins>
      <w:del w:id="218" w:author="Unknown Author" w:date="2018-04-12T11:46:00Z">
        <w:r>
          <w:rPr>
            <w:rFonts w:cs="Times New Roman" w:ascii="Times New Roman" w:hAnsi="Times New Roman"/>
          </w:rPr>
          <w:delText>The s</w:delText>
        </w:r>
      </w:del>
      <w:r>
        <w:rPr>
          <w:rFonts w:cs="Times New Roman" w:ascii="Times New Roman" w:hAnsi="Times New Roman"/>
        </w:rPr>
        <w:t>ervice delivery supposed 24% of the total economic cost, while monitoring and evaluation represented 11%. Microplanning and training contributed 5%; social mobilisation and IEC activities and cold-chain utilisation of excess capacity contributed 3% each to the total. Other recurrent economic costs (1%) completed the programme disbursements, consisting of the waste management.</w:t>
      </w:r>
    </w:p>
    <w:tbl>
      <w:tblPr>
        <w:tblStyle w:val="Tablaconcuadrcula"/>
        <w:tblW w:w="8714" w:type="dxa"/>
        <w:jc w:val="left"/>
        <w:tblInd w:w="0" w:type="dxa"/>
        <w:tblCellMar>
          <w:top w:w="0" w:type="dxa"/>
          <w:left w:w="113" w:type="dxa"/>
          <w:bottom w:w="0" w:type="dxa"/>
          <w:right w:w="108" w:type="dxa"/>
        </w:tblCellMar>
        <w:tblLook w:val="04a0" w:noVBand="1" w:noHBand="0" w:lastColumn="0" w:firstColumn="1" w:lastRow="0" w:firstRow="1"/>
      </w:tblPr>
      <w:tblGrid>
        <w:gridCol w:w="4641"/>
        <w:gridCol w:w="4072"/>
      </w:tblGrid>
      <w:tr>
        <w:trPr/>
        <w:tc>
          <w:tcPr>
            <w:tcW w:w="8713" w:type="dxa"/>
            <w:gridSpan w:val="2"/>
            <w:tcBorders>
              <w:top w:val="nil"/>
              <w:left w:val="nil"/>
              <w:bottom w:val="nil"/>
              <w:right w:val="single" w:sz="4" w:space="0" w:color="000001"/>
              <w:insideH w:val="nil"/>
              <w:insideV w:val="single" w:sz="4" w:space="0" w:color="000001"/>
            </w:tcBorders>
            <w:shd w:fill="auto" w:val="clear"/>
          </w:tcPr>
          <w:p>
            <w:pPr>
              <w:pStyle w:val="Normal"/>
              <w:spacing w:lineRule="auto" w:line="480"/>
              <w:rPr>
                <w:rFonts w:ascii="Times New Roman" w:hAnsi="Times New Roman" w:cs="Times New Roman"/>
              </w:rPr>
            </w:pPr>
            <w:r>
              <w:rPr>
                <w:rFonts w:cs="Times New Roman" w:ascii="Times New Roman" w:hAnsi="Times New Roman"/>
              </w:rPr>
              <w:t>Figure 1 Economic costs of the human papillomavirus (HPV) vaccination programme (2014 cycle) in Manhiça district expressed as (A) US$ (B) and percentages.</w:t>
            </w:r>
          </w:p>
        </w:tc>
      </w:tr>
      <w:tr>
        <w:trPr/>
        <w:tc>
          <w:tcPr>
            <w:tcW w:w="4641" w:type="dxa"/>
            <w:tcBorders>
              <w:top w:val="nil"/>
              <w:left w:val="nil"/>
              <w:bottom w:val="nil"/>
              <w:right w:val="nil"/>
              <w:insideH w:val="nil"/>
              <w:insideV w:val="nil"/>
            </w:tcBorders>
            <w:shd w:fill="auto" w:val="clear"/>
          </w:tcPr>
          <w:p>
            <w:pPr>
              <w:pStyle w:val="Normal"/>
              <w:spacing w:lineRule="auto" w:line="480"/>
              <w:rPr/>
            </w:pPr>
            <w:r>
              <w:rPr/>
              <w:drawing>
                <wp:inline distT="0" distB="0" distL="0" distR="0">
                  <wp:extent cx="2977515" cy="1736725"/>
                  <wp:effectExtent l="0" t="0" r="0" b="0"/>
                  <wp:docPr id="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
                          <pic:cNvPicPr>
                            <a:picLocks noChangeAspect="1" noChangeArrowheads="1"/>
                          </pic:cNvPicPr>
                        </pic:nvPicPr>
                        <pic:blipFill>
                          <a:blip r:embed="rId58"/>
                          <a:stretch>
                            <a:fillRect/>
                          </a:stretch>
                        </pic:blipFill>
                        <pic:spPr bwMode="auto">
                          <a:xfrm>
                            <a:off x="0" y="0"/>
                            <a:ext cx="2977515" cy="1736725"/>
                          </a:xfrm>
                          <a:prstGeom prst="rect">
                            <a:avLst/>
                          </a:prstGeom>
                        </pic:spPr>
                      </pic:pic>
                    </a:graphicData>
                  </a:graphic>
                </wp:inline>
              </w:drawing>
            </w:r>
          </w:p>
        </w:tc>
        <w:tc>
          <w:tcPr>
            <w:tcW w:w="407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drawing>
                <wp:inline distT="0" distB="0" distL="0" distR="0">
                  <wp:extent cx="2594610" cy="1716405"/>
                  <wp:effectExtent l="0" t="0" r="0" b="0"/>
                  <wp:docPr id="5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
                          <pic:cNvPicPr>
                            <a:picLocks noChangeAspect="1" noChangeArrowheads="1"/>
                          </pic:cNvPicPr>
                        </pic:nvPicPr>
                        <pic:blipFill>
                          <a:blip r:embed="rId59"/>
                          <a:stretch>
                            <a:fillRect/>
                          </a:stretch>
                        </pic:blipFill>
                        <pic:spPr bwMode="auto">
                          <a:xfrm>
                            <a:off x="0" y="0"/>
                            <a:ext cx="2594610" cy="1716405"/>
                          </a:xfrm>
                          <a:prstGeom prst="rect">
                            <a:avLst/>
                          </a:prstGeom>
                        </pic:spPr>
                      </pic:pic>
                    </a:graphicData>
                  </a:graphic>
                </wp:inline>
              </w:drawing>
            </w:r>
          </w:p>
        </w:tc>
      </w:tr>
    </w:tbl>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Table 3 shows the financial and economic cost per dose and FIG. The average economic cost per dose administered was 17.59 US$ (6.07 US$ financial cost per dose), of which 1.42 US$ corresponded to introduction, 15.64 US$ to recurrent and 0.53 US$ to cold-chain economic cost. The demonstration programme (cycle 2014) implied an average economic cost per FIG of 52.29 US$ (17.95 US$ financial cost per FIG)</w:t>
      </w:r>
      <w:r>
        <w:rPr>
          <w:rFonts w:ascii="Times New Roman" w:hAnsi="Times New Roman"/>
        </w:rPr>
        <w:t>.</w:t>
      </w:r>
    </w:p>
    <w:p>
      <w:pPr>
        <w:pStyle w:val="Normal"/>
        <w:spacing w:lineRule="auto" w:line="480"/>
        <w:rPr>
          <w:rFonts w:ascii="Times New Roman" w:hAnsi="Times New Roman"/>
        </w:rPr>
      </w:pPr>
      <w:r>
        <w:rPr>
          <w:rFonts w:ascii="Times New Roman" w:hAnsi="Times New Roman"/>
        </w:rPr>
      </w:r>
    </w:p>
    <w:tbl>
      <w:tblPr>
        <w:tblStyle w:val="Tablaconcuadrcula"/>
        <w:tblW w:w="9781" w:type="dxa"/>
        <w:jc w:val="left"/>
        <w:tblInd w:w="-1032" w:type="dxa"/>
        <w:tblCellMar>
          <w:top w:w="0" w:type="dxa"/>
          <w:left w:w="103" w:type="dxa"/>
          <w:bottom w:w="0" w:type="dxa"/>
          <w:right w:w="108" w:type="dxa"/>
        </w:tblCellMar>
        <w:tblLook w:val="04a0" w:noVBand="1" w:noHBand="0" w:lastColumn="0" w:firstColumn="1" w:lastRow="0" w:firstRow="1"/>
      </w:tblPr>
      <w:tblGrid>
        <w:gridCol w:w="1418"/>
        <w:gridCol w:w="1417"/>
        <w:gridCol w:w="1135"/>
        <w:gridCol w:w="851"/>
        <w:gridCol w:w="850"/>
        <w:gridCol w:w="1418"/>
        <w:gridCol w:w="1132"/>
        <w:gridCol w:w="773"/>
        <w:gridCol w:w="28"/>
        <w:gridCol w:w="758"/>
      </w:tblGrid>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rPr>
              <w:t>Table 3 Average financial and economic costs per dose and fully-immunised girl (FIG) for the demonstration programme (2014 cycle) and the alternative scenario (US$)</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4253" w:type="dxa"/>
            <w:gridSpan w:val="4"/>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Financial Cost</w:t>
            </w:r>
          </w:p>
        </w:tc>
        <w:tc>
          <w:tcPr>
            <w:tcW w:w="4109" w:type="dxa"/>
            <w:gridSpan w:val="5"/>
            <w:tcBorders/>
            <w:shd w:fill="auto" w:val="clear"/>
            <w:tcMar>
              <w:left w:w="103" w:type="dxa"/>
            </w:tcMar>
          </w:tcPr>
          <w:p>
            <w:pPr>
              <w:pStyle w:val="Normal"/>
              <w:spacing w:lineRule="auto" w:line="480"/>
              <w:jc w:val="center"/>
              <w:rPr>
                <w:rFonts w:ascii="Times New Roman" w:hAnsi="Times New Roman"/>
              </w:rPr>
            </w:pPr>
            <w:r>
              <w:rPr>
                <w:rFonts w:ascii="Times New Roman" w:hAnsi="Times New Roman"/>
              </w:rPr>
              <w:t>Economic Cost</w:t>
            </w:r>
          </w:p>
        </w:tc>
      </w:tr>
      <w:tr>
        <w:trPr/>
        <w:tc>
          <w:tcPr>
            <w:tcW w:w="1418" w:type="dxa"/>
            <w:tcBorders/>
            <w:shd w:fill="auto" w:val="clear"/>
            <w:tcMar>
              <w:left w:w="103" w:type="dxa"/>
            </w:tcMar>
          </w:tcPr>
          <w:p>
            <w:pPr>
              <w:pStyle w:val="Normal"/>
              <w:spacing w:lineRule="auto" w:line="480"/>
              <w:rPr>
                <w:rFonts w:ascii="Times New Roman" w:hAnsi="Times New Roman"/>
              </w:rPr>
            </w:pPr>
            <w:r>
              <w:rPr>
                <w:rFonts w:ascii="Times New Roman" w:hAnsi="Times New Roman"/>
              </w:rPr>
            </w:r>
          </w:p>
        </w:tc>
        <w:tc>
          <w:tcPr>
            <w:tcW w:w="1417"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5"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51" w:type="dxa"/>
            <w:tcBorders/>
            <w:shd w:fill="auto" w:val="clear"/>
            <w:tcMar>
              <w:left w:w="103" w:type="dxa"/>
            </w:tcMar>
          </w:tcPr>
          <w:p>
            <w:pPr>
              <w:pStyle w:val="Normal"/>
              <w:rPr>
                <w:rFonts w:ascii="Times New Roman" w:hAnsi="Times New Roman"/>
              </w:rPr>
            </w:pPr>
            <w:r>
              <w:rPr>
                <w:rFonts w:ascii="Times New Roman" w:hAnsi="Times New Roman"/>
              </w:rPr>
              <w:t>Cold-chain</w:t>
            </w:r>
          </w:p>
        </w:tc>
        <w:tc>
          <w:tcPr>
            <w:tcW w:w="850" w:type="dxa"/>
            <w:tcBorders/>
            <w:shd w:fill="auto" w:val="clear"/>
            <w:tcMar>
              <w:left w:w="103" w:type="dxa"/>
            </w:tcMar>
          </w:tcPr>
          <w:p>
            <w:pPr>
              <w:pStyle w:val="Normal"/>
              <w:rPr>
                <w:rFonts w:ascii="Times New Roman" w:hAnsi="Times New Roman"/>
              </w:rPr>
            </w:pPr>
            <w:r>
              <w:rPr>
                <w:rFonts w:ascii="Times New Roman" w:hAnsi="Times New Roman"/>
              </w:rPr>
              <w:t>Total cost</w:t>
            </w:r>
          </w:p>
        </w:tc>
        <w:tc>
          <w:tcPr>
            <w:tcW w:w="1418" w:type="dxa"/>
            <w:tcBorders/>
            <w:shd w:fill="auto" w:val="clear"/>
            <w:tcMar>
              <w:left w:w="103" w:type="dxa"/>
            </w:tcMar>
          </w:tcPr>
          <w:p>
            <w:pPr>
              <w:pStyle w:val="Normal"/>
              <w:rPr>
                <w:rFonts w:ascii="Times New Roman" w:hAnsi="Times New Roman"/>
              </w:rPr>
            </w:pPr>
            <w:r>
              <w:rPr>
                <w:rFonts w:ascii="Times New Roman" w:hAnsi="Times New Roman"/>
              </w:rPr>
              <w:t>Introduction cost</w:t>
            </w:r>
          </w:p>
        </w:tc>
        <w:tc>
          <w:tcPr>
            <w:tcW w:w="1132" w:type="dxa"/>
            <w:tcBorders/>
            <w:shd w:fill="auto" w:val="clear"/>
            <w:tcMar>
              <w:left w:w="103" w:type="dxa"/>
            </w:tcMar>
          </w:tcPr>
          <w:p>
            <w:pPr>
              <w:pStyle w:val="Normal"/>
              <w:rPr>
                <w:rFonts w:ascii="Times New Roman" w:hAnsi="Times New Roman"/>
              </w:rPr>
            </w:pPr>
            <w:r>
              <w:rPr>
                <w:rFonts w:ascii="Times New Roman" w:hAnsi="Times New Roman"/>
              </w:rPr>
              <w:t>Recurrent cost</w:t>
            </w:r>
          </w:p>
        </w:tc>
        <w:tc>
          <w:tcPr>
            <w:tcW w:w="801" w:type="dxa"/>
            <w:gridSpan w:val="2"/>
            <w:tcBorders/>
            <w:shd w:fill="auto" w:val="clear"/>
            <w:tcMar>
              <w:left w:w="103" w:type="dxa"/>
            </w:tcMar>
          </w:tcPr>
          <w:p>
            <w:pPr>
              <w:pStyle w:val="Normal"/>
              <w:rPr>
                <w:rFonts w:ascii="Times New Roman" w:hAnsi="Times New Roman"/>
              </w:rPr>
            </w:pPr>
            <w:r>
              <w:rPr>
                <w:rFonts w:ascii="Times New Roman" w:hAnsi="Times New Roman"/>
              </w:rPr>
              <w:t>Cold-chain</w:t>
            </w:r>
          </w:p>
        </w:tc>
        <w:tc>
          <w:tcPr>
            <w:tcW w:w="758" w:type="dxa"/>
            <w:tcBorders/>
            <w:shd w:fill="auto" w:val="clear"/>
            <w:tcMar>
              <w:left w:w="103" w:type="dxa"/>
            </w:tcMar>
          </w:tcPr>
          <w:p>
            <w:pPr>
              <w:pStyle w:val="Normal"/>
              <w:rPr>
                <w:rFonts w:ascii="Times New Roman" w:hAnsi="Times New Roman"/>
              </w:rPr>
            </w:pPr>
            <w:r>
              <w:rPr>
                <w:rFonts w:ascii="Times New Roman" w:hAnsi="Times New Roman"/>
              </w:rPr>
              <w:t>Total cost</w:t>
            </w:r>
          </w:p>
        </w:tc>
      </w:tr>
      <w:tr>
        <w:trPr>
          <w:trHeight w:val="259" w:hRule="atLeast"/>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Demonstration Programme (2014 cycle)</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0.80</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6.07</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1.42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15.64</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17.59</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16.07</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17.95</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47.73</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1.24</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52.29</w:t>
            </w:r>
          </w:p>
        </w:tc>
      </w:tr>
      <w:tr>
        <w:trPr/>
        <w:tc>
          <w:tcPr>
            <w:tcW w:w="9780" w:type="dxa"/>
            <w:gridSpan w:val="10"/>
            <w:tcBorders/>
            <w:shd w:fill="auto" w:val="clear"/>
            <w:tcMar>
              <w:left w:w="103" w:type="dxa"/>
            </w:tcMar>
          </w:tcPr>
          <w:p>
            <w:pPr>
              <w:pStyle w:val="Normal"/>
              <w:spacing w:lineRule="auto" w:line="480"/>
              <w:rPr>
                <w:rFonts w:ascii="Times New Roman" w:hAnsi="Times New Roman"/>
              </w:rPr>
            </w:pPr>
            <w:r>
              <w:rPr>
                <w:rFonts w:ascii="Times New Roman" w:hAnsi="Times New Roman"/>
                <w:b/>
              </w:rPr>
              <w:t>Alternative scenario (subsequent cycles)</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dose</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0.99</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4.01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5.00</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1.75</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13.25</w:t>
            </w:r>
          </w:p>
        </w:tc>
        <w:tc>
          <w:tcPr>
            <w:tcW w:w="801"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0.53</w:t>
            </w:r>
          </w:p>
        </w:tc>
        <w:tc>
          <w:tcPr>
            <w:tcW w:w="75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15.53</w:t>
            </w:r>
          </w:p>
        </w:tc>
      </w:tr>
      <w:tr>
        <w:trPr/>
        <w:tc>
          <w:tcPr>
            <w:tcW w:w="1418" w:type="dxa"/>
            <w:tcBorders/>
            <w:shd w:fill="auto" w:val="clear"/>
            <w:tcMar>
              <w:left w:w="103" w:type="dxa"/>
            </w:tcMar>
          </w:tcPr>
          <w:p>
            <w:pPr>
              <w:pStyle w:val="Normal"/>
              <w:rPr>
                <w:rFonts w:ascii="Times New Roman" w:hAnsi="Times New Roman"/>
              </w:rPr>
            </w:pPr>
            <w:r>
              <w:rPr>
                <w:rFonts w:ascii="Times New Roman" w:hAnsi="Times New Roman"/>
              </w:rPr>
              <w:t>Average cost per FIG</w:t>
            </w:r>
          </w:p>
        </w:tc>
        <w:tc>
          <w:tcPr>
            <w:tcW w:w="1417"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1.88</w:t>
            </w:r>
          </w:p>
        </w:tc>
        <w:tc>
          <w:tcPr>
            <w:tcW w:w="1135"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8.11</w:t>
            </w:r>
          </w:p>
        </w:tc>
        <w:tc>
          <w:tcPr>
            <w:tcW w:w="851"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0.00</w:t>
            </w:r>
          </w:p>
        </w:tc>
        <w:tc>
          <w:tcPr>
            <w:tcW w:w="850"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9.99</w:t>
            </w:r>
          </w:p>
        </w:tc>
        <w:tc>
          <w:tcPr>
            <w:tcW w:w="1418"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3.32</w:t>
            </w:r>
          </w:p>
        </w:tc>
        <w:tc>
          <w:tcPr>
            <w:tcW w:w="1132"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26.81</w:t>
            </w:r>
          </w:p>
        </w:tc>
        <w:tc>
          <w:tcPr>
            <w:tcW w:w="773" w:type="dxa"/>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1.01</w:t>
            </w:r>
          </w:p>
        </w:tc>
        <w:tc>
          <w:tcPr>
            <w:tcW w:w="786" w:type="dxa"/>
            <w:gridSpan w:val="2"/>
            <w:tcBorders/>
            <w:shd w:fill="auto" w:val="clear"/>
            <w:tcMar>
              <w:left w:w="103" w:type="dxa"/>
            </w:tcMar>
          </w:tcPr>
          <w:p>
            <w:pPr>
              <w:pStyle w:val="Normal"/>
              <w:spacing w:lineRule="auto" w:line="480"/>
              <w:jc w:val="right"/>
              <w:rPr>
                <w:rFonts w:ascii="Times New Roman" w:hAnsi="Times New Roman"/>
              </w:rPr>
            </w:pPr>
            <w:r>
              <w:rPr>
                <w:rFonts w:ascii="Times New Roman" w:hAnsi="Times New Roman"/>
              </w:rPr>
              <w:t>31.14</w:t>
            </w:r>
          </w:p>
        </w:tc>
      </w:tr>
    </w:tbl>
    <w:p>
      <w:pPr>
        <w:pStyle w:val="Heading2"/>
        <w:spacing w:lineRule="auto" w:line="480"/>
        <w:rPr>
          <w:rFonts w:ascii="Times New Roman" w:hAnsi="Times New Roman"/>
        </w:rPr>
      </w:pPr>
      <w:r>
        <w:rPr>
          <w:rFonts w:ascii="Times New Roman" w:hAnsi="Times New Roman"/>
        </w:rPr>
      </w:r>
    </w:p>
    <w:p>
      <w:pPr>
        <w:pStyle w:val="Heading2"/>
        <w:spacing w:lineRule="auto" w:line="480"/>
        <w:rPr>
          <w:rFonts w:ascii="Times New Roman" w:hAnsi="Times New Roman" w:cs="Times New Roman"/>
          <w:color w:val="000000" w:themeColor="text1"/>
          <w:sz w:val="22"/>
          <w:szCs w:val="22"/>
          <w:u w:val="single"/>
        </w:rPr>
      </w:pPr>
      <w:bookmarkStart w:id="403" w:name="_Toc460593306"/>
      <w:bookmarkEnd w:id="403"/>
      <w:r>
        <w:rPr>
          <w:rFonts w:cs="Times New Roman" w:ascii="Times New Roman" w:hAnsi="Times New Roman"/>
          <w:color w:val="000000" w:themeColor="text1"/>
          <w:sz w:val="22"/>
          <w:szCs w:val="22"/>
          <w:u w:val="single"/>
        </w:rPr>
        <w:t>Costs of the alternative scenario</w:t>
      </w:r>
    </w:p>
    <w:p>
      <w:pPr>
        <w:pStyle w:val="Normal"/>
        <w:spacing w:lineRule="auto" w:line="480"/>
        <w:rPr>
          <w:rFonts w:ascii="Times New Roman" w:hAnsi="Times New Roman" w:cs="Times New Roman"/>
        </w:rPr>
      </w:pPr>
      <w:r>
        <w:rPr>
          <w:rFonts w:cs="Times New Roman" w:ascii="Times New Roman" w:hAnsi="Times New Roman"/>
        </w:rPr>
        <w:t>We estimated the cost of the programme for the subsequent years, if the number of doses were reduced to 2; the supervision team to 1 supervisor and the outreach team at schools to 1 vaccinator and 1 teacher; and if 2 community outreach visits were carried out per health facility catchment area, in order to increase the coverage of FIGs to 94% of the target population (table 1). This set of changes implied a reduction in the vaccine procurement economic cost from 64,237 US$ to 52,241 US$. It also implied a reduction in the service delivery economic cost from 29,367 US$ to 13,283 US$, as well as supervision cost from 13,086 US$ to 7,401 US$ as the reduction of supervisors compensated the community outreach costs. All in all, the programme economic cost would reduce to 87,718 US$ (28,223 US$ financial costs). Financial and economic costs of the alternative scenario can be found in the supplementary file (table S4).</w:t>
      </w:r>
    </w:p>
    <w:p>
      <w:pPr>
        <w:pStyle w:val="Normal"/>
        <w:spacing w:lineRule="auto" w:line="480"/>
        <w:rPr>
          <w:rFonts w:ascii="Times New Roman" w:hAnsi="Times New Roman" w:cs="Times New Roman"/>
        </w:rPr>
      </w:pPr>
      <w:r>
        <w:rPr>
          <w:rFonts w:cs="Times New Roman" w:ascii="Times New Roman" w:hAnsi="Times New Roman"/>
        </w:rPr>
        <w:t>The average economic cost per dose reduced to 15.53 US$ (5.00 US$ financial cost per dose), 1.75 US$ corresponding to introduction, 13.25 US$ to recurrent and 0.53 US$ to cold-chain economic costs. The average economic and financial cost per FIG reduced to 31.14 US$ and 9.99 US$ respectively (table 3).</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r>
        <w:br w:type="page"/>
      </w:r>
    </w:p>
    <w:p>
      <w:pPr>
        <w:pStyle w:val="Normal"/>
        <w:tabs>
          <w:tab w:val="left" w:pos="3051" w:leader="none"/>
        </w:tabs>
        <w:spacing w:lineRule="auto" w:line="480"/>
        <w:rPr>
          <w:rFonts w:ascii="Times New Roman" w:hAnsi="Times New Roman" w:cs="Times New Roman"/>
          <w:b/>
          <w:b/>
          <w:color w:val="000000" w:themeColor="text1"/>
        </w:rPr>
      </w:pPr>
      <w:bookmarkStart w:id="404" w:name="_Toc460593307"/>
      <w:bookmarkEnd w:id="404"/>
      <w:r>
        <w:rPr>
          <w:rFonts w:cs="Times New Roman" w:ascii="Times New Roman" w:hAnsi="Times New Roman"/>
          <w:b/>
          <w:color w:val="000000" w:themeColor="text1"/>
        </w:rPr>
        <w:t>Discussion</w:t>
      </w:r>
    </w:p>
    <w:p>
      <w:pPr>
        <w:pStyle w:val="Normal"/>
        <w:spacing w:lineRule="auto" w:line="480"/>
        <w:rPr/>
      </w:pPr>
      <w:r>
        <w:rPr>
          <w:rFonts w:cs="Times New Roman" w:ascii="Times New Roman" w:hAnsi="Times New Roman"/>
        </w:rPr>
        <w:t xml:space="preserve">During the first vaccination cycle (2014), when 3 doses were administered, the average financial (6.07 US$) and economic cost (17.59 US$) per dose were below the mean financial (8.74 US$) and economic cost per dose (19.98 US$) recently calculated in a study reporting the findings of twelve demonstration projects in different LMICs, ten of which were Sub-Saharan African countries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05" w:name="__Fieldmark__9358_513475976"/>
      <w:r>
        <w:rPr>
          <w:rFonts w:cs="Times New Roman" w:ascii="Times New Roman" w:hAnsi="Times New Roman"/>
        </w:rPr>
        <w:t>[</w:t>
      </w:r>
      <w:bookmarkStart w:id="406" w:name="__Fieldmark__12913_903549581"/>
      <w:r>
        <w:rPr>
          <w:rFonts w:cs="Times New Roman" w:ascii="Times New Roman" w:hAnsi="Times New Roman"/>
        </w:rPr>
        <w:t>17]</w:t>
      </w:r>
      <w:r>
        <w:rPr>
          <w:rFonts w:cs="Times New Roman" w:ascii="Times New Roman" w:hAnsi="Times New Roman"/>
        </w:rPr>
      </w:r>
      <w:r>
        <w:fldChar w:fldCharType="end"/>
      </w:r>
      <w:bookmarkEnd w:id="405"/>
      <w:bookmarkEnd w:id="406"/>
      <w:r>
        <w:rPr>
          <w:rFonts w:cs="Times New Roman" w:ascii="Times New Roman" w:hAnsi="Times New Roman"/>
        </w:rPr>
        <w:t xml:space="preserve">. However, our estimations of the average financial (17.95 US$) and economic (52.29 US$) cost per FIG obtained from the demonstration programme in Manhiça were higher than most of the ones obtained by other published studies reporting estimates of similar HPV vaccine demonstration programmes in LMICs </w:t>
      </w:r>
      <w:r>
        <w:fldChar w:fldCharType="begin"/>
      </w:r>
      <w:r>
        <w:instrText>ADDIN CSL_CITATION { "citationItems" : [ { "id" : "ITEM-1",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"ITEM-1", "issue" : "8", "issued" : { "date-parts" : [ [ "2013" ] ] }, "page" : "585-92", "title" : "Delivery cost of human papillomavirus vaccination of young adolescent girls in Peru, Uganda and Viet Nam.", "type" : "article-journal", "volume" : "91" }, "uris" : [ "http://www.mendeley.com/documents/?uuid=4f350771-3333-4146-8564-51f618a01872"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"ITEM-3",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"ITEM-4",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"ITEM-4",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"[13,18\u201320]", "plainTextFormattedCitation" : "[13,18\u201320]", "previouslyFormattedCitation" : "[13,18\u201320]" }, "properties" : {  }, "schema" : "https://github.com/citation-style-language/schema/raw/master/csl-citation.json" }</w:instrText>
      </w:r>
      <w:r>
        <w:fldChar w:fldCharType="separate"/>
      </w:r>
      <w:bookmarkStart w:id="407" w:name="__Fieldmark__9365_513475976"/>
      <w:r>
        <w:rPr>
          <w:rFonts w:cs="Times New Roman" w:ascii="Times New Roman" w:hAnsi="Times New Roman"/>
        </w:rPr>
        <w:t>[</w:t>
      </w:r>
      <w:bookmarkStart w:id="408" w:name="__Fieldmark__12918_903549581"/>
      <w:r>
        <w:rPr>
          <w:rFonts w:cs="Times New Roman" w:ascii="Times New Roman" w:hAnsi="Times New Roman"/>
        </w:rPr>
        <w:t>13,18–20]</w:t>
      </w:r>
      <w:r>
        <w:rPr>
          <w:rFonts w:cs="Times New Roman" w:ascii="Times New Roman" w:hAnsi="Times New Roman"/>
        </w:rPr>
      </w:r>
      <w:r>
        <w:fldChar w:fldCharType="end"/>
      </w:r>
      <w:bookmarkEnd w:id="407"/>
      <w:bookmarkEnd w:id="408"/>
      <w:r>
        <w:rPr>
          <w:rFonts w:cs="Times New Roman" w:ascii="Times New Roman" w:hAnsi="Times New Roman"/>
        </w:rPr>
        <w:t>.</w:t>
      </w:r>
    </w:p>
    <w:p>
      <w:pPr>
        <w:pStyle w:val="Normal"/>
        <w:spacing w:lineRule="auto" w:line="480"/>
        <w:rPr/>
      </w:pPr>
      <w:del w:id="219" w:author="Unknown Author" w:date="2018-04-12T11:46:00Z">
        <w:r>
          <w:rPr>
            <w:rFonts w:cs="Times New Roman" w:ascii="Times New Roman" w:hAnsi="Times New Roman"/>
          </w:rPr>
          <w:delText>However</w:delText>
        </w:r>
      </w:del>
      <w:ins w:id="220" w:author="Unknown Author" w:date="2018-04-12T11:46:00Z">
        <w:r>
          <w:rPr>
            <w:rFonts w:cs="Times New Roman" w:ascii="Times New Roman" w:hAnsi="Times New Roman"/>
          </w:rPr>
          <w:t>Nonetheless</w:t>
        </w:r>
      </w:ins>
      <w:ins w:id="221" w:author="Unknown Author" w:date="2018-04-12T11:46:00Z">
        <w:r>
          <w:rPr>
            <w:rFonts w:cs="Times New Roman" w:ascii="Times New Roman" w:hAnsi="Times New Roman"/>
          </w:rPr>
          <w:commentReference w:id="10"/>
        </w:r>
      </w:ins>
      <w:r>
        <w:rPr>
          <w:rFonts w:cs="Times New Roman" w:ascii="Times New Roman" w:hAnsi="Times New Roman"/>
        </w:rPr>
        <w:t xml:space="preserve">, cross-country comparisons should be made with caution. First, our estimation refers to the Manhiça demonstration programme and no scale-up projection for the introduction of the vaccine at a national level was computed due to limited data on key variables, such as reliable target population and number of schools. Second, a great variability in the average cost per FIG is found in estimates across country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"mendeley" : { "formattedCitation" : "[19]", "plainTextFormattedCitation" : "[19]", "previouslyFormattedCitation" : "[19]" }, "properties" : {  }, "schema" : "https://github.com/citation-style-language/schema/raw/master/csl-citation.json" }</w:instrText>
      </w:r>
      <w:r>
        <w:fldChar w:fldCharType="separate"/>
      </w:r>
      <w:bookmarkStart w:id="409" w:name="__Fieldmark__9374_513475976"/>
      <w:r>
        <w:rPr>
          <w:rFonts w:cs="Times New Roman" w:ascii="Times New Roman" w:hAnsi="Times New Roman"/>
        </w:rPr>
        <w:t>[</w:t>
      </w:r>
      <w:bookmarkStart w:id="410" w:name="__Fieldmark__12925_903549581"/>
      <w:r>
        <w:rPr>
          <w:rFonts w:cs="Times New Roman" w:ascii="Times New Roman" w:hAnsi="Times New Roman"/>
        </w:rPr>
        <w:t>19]</w:t>
      </w:r>
      <w:r>
        <w:rPr>
          <w:rFonts w:cs="Times New Roman" w:ascii="Times New Roman" w:hAnsi="Times New Roman"/>
        </w:rPr>
      </w:r>
      <w:r>
        <w:fldChar w:fldCharType="end"/>
      </w:r>
      <w:bookmarkEnd w:id="409"/>
      <w:bookmarkEnd w:id="410"/>
      <w:r>
        <w:rPr>
          <w:rFonts w:cs="Times New Roman" w:ascii="Times New Roman" w:hAnsi="Times New Roman"/>
        </w:rPr>
        <w:t xml:space="preserve">: the average financial cost per FIG ranged from 2.49 US$ in India, under a school-based delivery strategy and community outreach services, to 20.36 US$ in Vietnam, also under a school-based delivery strategy. However, two pilot projects evaluated in Tanzania are likely to be more comparable to the programme in Manhiça: population size and density were similar, both followed a school-based delivery strategy, achieved similar coverage levels to the one in Manhiça (79% and 72%) and resulted in an average financial cost per FIG of 15.27 US$ and 19.17 US$, similar to the one of Manhiça </w:t>
      </w:r>
      <w:r>
        <w:fldChar w:fldCharType="begin"/>
      </w:r>
      <w:r>
        <w:instrText>ADDIN CSL_CITATION { "citationItems" : [ { "id" : "ITEM-1",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"ITEM-1",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"ITEM-2", "itemData" : { "author" : [ { "dropping-particle" : "", "family" : "Quentin", "given" : "Wilm", "non-dropping-particle" : "", "parse-names" : false, "suffix" : "" }, { "dropping-particle" : "", "family" : "Terris-prestholt", "given" : "Fern", "non-dropping-particle" : "", "parse-names" : false, "suffix" : "" }, { "dropping-particle" : "", "family" : "Changalucha", "given" : "John", "non-dropping-particle" : "", "parse-names" : false, "suffix" : "" }, { "dropping-particle" : "", "family" : "Soteli", "given" : "Selephina", "non-dropping-particle" : "", "parse-names" : false, "suffix" : "" }, { "dropping-particle" : "", "family" : "Edmunds", "given" : "W John", "non-dropping-particle" : "", "parse-names" : false, "suffix" : "" }, { "dropping-particle" : "", "family" : "Hutubessy", "given" : "Raymond", "non-dropping-particle" : "", "parse-names" : false, "suffix" : "" }, { "dropping-particle" : "", "family" : "Ross", "given" : "David A", "non-dropping-particle" : "", "parse-names" : false, "suffix" : "" }, { "dropping-particle" : "", "family" : "Kapiga", "given" : "Saidi", "non-dropping-particle" : "", "parse-names" : false, "suffix" : "" }, { "dropping-particle" : "", "family" : "Hayes", "given" : "Richard", "non-dropping-particle" : "", "parse-names" : false, "suffix" : "" }, { "dropping-particle" : "", "family" : "Watson-jones", "given" : "Deborah", "non-dropping-particle" : "", "parse-names" : false, "suffix" : "" } ], "container-title" : "BMC Medicine", "id" : "ITEM-2", "issue" : "137", "issued" : { "date-parts" : [ [ "2012" ] ] }, "title" : "Costs of delivering human papillomavirus vaccination to schoolgirls in Mwanza Region, Tanzania", "type" : "article-journal", "volume" : "10" }, "uris" : [ "http://www.mendeley.com/documents/?uuid=ed423932-e368-45bd-a6ac-7cebceead681" ] } ], "mendeley" : { "formattedCitation" : "[19,20]", "plainTextFormattedCitation" : "[19,20]", "previouslyFormattedCitation" : "[19,20]" }, "properties" : {  }, "schema" : "https://github.com/citation-style-language/schema/raw/master/csl-citation.json" }</w:instrText>
      </w:r>
      <w:r>
        <w:fldChar w:fldCharType="separate"/>
      </w:r>
      <w:bookmarkStart w:id="411" w:name="__Fieldmark__9381_513475976"/>
      <w:r>
        <w:rPr>
          <w:rFonts w:cs="Times New Roman" w:ascii="Times New Roman" w:hAnsi="Times New Roman"/>
        </w:rPr>
        <w:t>[</w:t>
      </w:r>
      <w:bookmarkStart w:id="412" w:name="__Fieldmark__12930_903549581"/>
      <w:r>
        <w:rPr>
          <w:rFonts w:cs="Times New Roman" w:ascii="Times New Roman" w:hAnsi="Times New Roman"/>
        </w:rPr>
        <w:t>19,20]</w:t>
      </w:r>
      <w:r>
        <w:rPr>
          <w:rFonts w:cs="Times New Roman" w:ascii="Times New Roman" w:hAnsi="Times New Roman"/>
        </w:rPr>
      </w:r>
      <w:r>
        <w:fldChar w:fldCharType="end"/>
      </w:r>
      <w:bookmarkEnd w:id="411"/>
      <w:bookmarkEnd w:id="412"/>
      <w:r>
        <w:rPr>
          <w:rFonts w:cs="Times New Roman" w:ascii="Times New Roman" w:hAnsi="Times New Roman"/>
        </w:rPr>
        <w:t xml:space="preserve">. The fact that the average financial cost per FIG was higher in Manhiça (17.95 US$ per FIG) is mainly explained because it achieved a lower coverage rate (77%) than most of other demonstration programmes, but also due to certain country characteristics, such as: (1) population density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3" w:name="__Fieldmark__9388_513475976"/>
      <w:r>
        <w:rPr>
          <w:rFonts w:cs="Times New Roman" w:ascii="Times New Roman" w:hAnsi="Times New Roman"/>
        </w:rPr>
        <w:t>[</w:t>
      </w:r>
      <w:bookmarkStart w:id="414" w:name="__Fieldmark__12936_903549581"/>
      <w:r>
        <w:rPr>
          <w:rFonts w:cs="Times New Roman" w:ascii="Times New Roman" w:hAnsi="Times New Roman"/>
        </w:rPr>
        <w:t>17]</w:t>
      </w:r>
      <w:r>
        <w:rPr>
          <w:rFonts w:cs="Times New Roman" w:ascii="Times New Roman" w:hAnsi="Times New Roman"/>
        </w:rPr>
      </w:r>
      <w:r>
        <w:fldChar w:fldCharType="end"/>
      </w:r>
      <w:bookmarkEnd w:id="413"/>
      <w:bookmarkEnd w:id="414"/>
      <w:r>
        <w:rPr>
          <w:rFonts w:cs="Times New Roman" w:ascii="Times New Roman" w:hAnsi="Times New Roman"/>
        </w:rPr>
        <w:t xml:space="preserve">, (2) proximities of health facilities to schools, and (3) programme design, such as number of doses scheduled, vaccine delivery strategy and intensity of resources devoted to the programme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15" w:name="__Fieldmark__9395_513475976"/>
      <w:r>
        <w:rPr>
          <w:rFonts w:cs="Times New Roman" w:ascii="Times New Roman" w:hAnsi="Times New Roman"/>
        </w:rPr>
        <w:t>[</w:t>
      </w:r>
      <w:bookmarkStart w:id="416" w:name="__Fieldmark__12941_903549581"/>
      <w:r>
        <w:rPr>
          <w:rFonts w:cs="Times New Roman" w:ascii="Times New Roman" w:hAnsi="Times New Roman"/>
        </w:rPr>
        <w:t>17]</w:t>
      </w:r>
      <w:r>
        <w:rPr>
          <w:rFonts w:cs="Times New Roman" w:ascii="Times New Roman" w:hAnsi="Times New Roman"/>
        </w:rPr>
      </w:r>
      <w:r>
        <w:fldChar w:fldCharType="end"/>
      </w:r>
      <w:bookmarkEnd w:id="415"/>
      <w:bookmarkEnd w:id="416"/>
      <w:r>
        <w:rPr>
          <w:rFonts w:cs="Times New Roman" w:ascii="Times New Roman" w:hAnsi="Times New Roman"/>
        </w:rPr>
        <w:t>. Manhiça district is a semi-rural area with a high concentration of moderately dense population only in the main village, contrasted with very disperse population at some remote areas that should prove hard-to-reach and the health facilities are few and far-between.</w:t>
      </w:r>
    </w:p>
    <w:p>
      <w:pPr>
        <w:pStyle w:val="Normal"/>
        <w:spacing w:lineRule="auto" w:line="480"/>
        <w:rPr/>
      </w:pPr>
      <w:r>
        <w:rPr>
          <w:rFonts w:cs="Times New Roman" w:ascii="Times New Roman" w:hAnsi="Times New Roman"/>
        </w:rPr>
        <w:t xml:space="preserve">The school-based delivery strategy has an important implication in terms of coverage that critically affects the cost per FIG: in low-income countries (1) school-based vaccine programmes suffer poor planning, and (2) high percentage of school absenteeism and out-of-school girls are commonly reported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"[12]", "plainTextFormattedCitation" : "[12]", "previouslyFormattedCitation" : "[12]" }, "properties" : {  }, "schema" : "https://github.com/citation-style-language/schema/raw/master/csl-citation.json" }</w:instrText>
      </w:r>
      <w:r>
        <w:fldChar w:fldCharType="separate"/>
      </w:r>
      <w:bookmarkStart w:id="417" w:name="__Fieldmark__9404_513475976"/>
      <w:r>
        <w:rPr>
          <w:rFonts w:cs="Times New Roman" w:ascii="Times New Roman" w:hAnsi="Times New Roman"/>
        </w:rPr>
        <w:t>[</w:t>
      </w:r>
      <w:bookmarkStart w:id="418" w:name="__Fieldmark__12948_903549581"/>
      <w:r>
        <w:rPr>
          <w:rFonts w:cs="Times New Roman" w:ascii="Times New Roman" w:hAnsi="Times New Roman"/>
        </w:rPr>
        <w:t>12]</w:t>
      </w:r>
      <w:r>
        <w:rPr>
          <w:rFonts w:cs="Times New Roman" w:ascii="Times New Roman" w:hAnsi="Times New Roman"/>
        </w:rPr>
      </w:r>
      <w:r>
        <w:fldChar w:fldCharType="end"/>
      </w:r>
      <w:bookmarkEnd w:id="417"/>
      <w:bookmarkEnd w:id="418"/>
      <w:r>
        <w:rPr>
          <w:rFonts w:cs="Times New Roman" w:ascii="Times New Roman" w:hAnsi="Times New Roman"/>
        </w:rPr>
        <w:t xml:space="preserve">. According to the Mozambican National Institute of Statistics, 2,974 10-year-old girls lived in Manhiça district at the time of the first cycle </w:t>
      </w:r>
      <w:r>
        <w:fldChar w:fldCharType="begin"/>
      </w:r>
      <w:r>
        <w:instrText>ADDIN CSL_CITATION { "citationItems" : [ { "id" : "ITEM-1", "itemData" : { "author" : [ { "dropping-particle" : "", "family" : "Department of Public Health \u2013 Expanded Program on Immunization. Ministry of Health. Republic of Mozambique.", "given" : "", "non-dropping-particle" : "", "parse-names" : false, "suffix" : "" } ], "id" : "ITEM-1", "issued" : { "date-parts" : [ [ "2015" ] ] }, "publisher-place" : "Maputo", "title" : "HPV demonstration programme \u2013 year 1. Technical report on the post-introduction evaluation of HPV vaccine in Manhi\u00e7a, Mozambique.", "type" : "report" }, "uris" : [ "http://www.mendeley.com/documents/?uuid=d5695565-b666-466d-a461-87df4bb73554" ] } ], "mendeley" : { "formattedCitation" : "[22]", "plainTextFormattedCitation" : "[22]", "previouslyFormattedCitation" : "[22]" }, "properties" : {  }, "schema" : "https://github.com/citation-style-language/schema/raw/master/csl-citation.json" }</w:instrText>
      </w:r>
      <w:r>
        <w:fldChar w:fldCharType="separate"/>
      </w:r>
      <w:bookmarkStart w:id="419" w:name="__Fieldmark__9411_513475976"/>
      <w:r>
        <w:rPr>
          <w:rFonts w:cs="Times New Roman" w:ascii="Times New Roman" w:hAnsi="Times New Roman"/>
        </w:rPr>
        <w:t>[</w:t>
      </w:r>
      <w:bookmarkStart w:id="420" w:name="__Fieldmark__12953_903549581"/>
      <w:r>
        <w:rPr>
          <w:rFonts w:cs="Times New Roman" w:ascii="Times New Roman" w:hAnsi="Times New Roman"/>
        </w:rPr>
        <w:t>22]</w:t>
      </w:r>
      <w:r>
        <w:rPr>
          <w:rFonts w:cs="Times New Roman" w:ascii="Times New Roman" w:hAnsi="Times New Roman"/>
        </w:rPr>
      </w:r>
      <w:r>
        <w:fldChar w:fldCharType="end"/>
      </w:r>
      <w:bookmarkEnd w:id="419"/>
      <w:bookmarkEnd w:id="420"/>
      <w:r>
        <w:rPr>
          <w:rFonts w:cs="Times New Roman" w:ascii="Times New Roman" w:hAnsi="Times New Roman"/>
        </w:rPr>
        <w:t xml:space="preserve">, but only 2,280 were enrolled at schools according to the school census. It implies that 694 girls (23.34% of the target population) could not be reached following a school-base approach, therefore reducing the coverage and increasing the cost per FIG. One possibility is to increase the coverage through community visits of outreach services to reach girls in remote settings </w:t>
      </w:r>
      <w:r>
        <w:fldChar w:fldCharType="begin"/>
      </w:r>
      <w:r>
        <w:instrText>ADDIN CSL_CITATION { "citationItems" : [ { "id" : "ITEM-1", "itemData" : { "ISBN" : "978 92 4 150151 4", "PMID" : "26269879", "abstract" : "Outreach services as a strategy to increase access to health workers in remote and rural areas / Eric de Roodenbeke \u2026 [et al].", "author" : [ { "dropping-particle" : "De", "family" : "Roodenbeke", "given" : "E", "non-dropping-particle" : "", "parse-names" : false, "suffix" : "" }, { "dropping-particle" : "", "family" : "Lucas", "given" : "S", "non-dropping-particle" : "", "parse-names" : false, "suffix" : "" }, { "dropping-particle" : "", "family" : "Rouzaut", "given" : "A", "non-dropping-particle" : "", "parse-names" : false, "suffix" : "" }, { "dropping-particle" : "", "family" : "Bana", "given" : "F", "non-dropping-particle" : "", "parse-names" : false, "suffix" : "" } ], "container-title" : "World Health Organization", "id" : "ITEM-1", "issue" : "2", "issued" : { "date-parts" : [ [ "2011" ] ] }, "page" : "48", "title" : "Outreach services as a strategy to increase access to health workers in remote and rural areas", "type" : "article-journal" }, "uris" : [ "http://www.mendeley.com/documents/?uuid=c9337184-7ed5-4965-ba71-8f382f7778cd" ] } ], "mendeley" : { "formattedCitation" : "[35]", "plainTextFormattedCitation" : "[35]", "previouslyFormattedCitation" : "[35]" }, "properties" : {  }, "schema" : "https://github.com/citation-style-language/schema/raw/master/csl-citation.json" }</w:instrText>
      </w:r>
      <w:r>
        <w:fldChar w:fldCharType="separate"/>
      </w:r>
      <w:bookmarkStart w:id="421" w:name="__Fieldmark__9418_513475976"/>
      <w:r>
        <w:rPr>
          <w:rFonts w:cs="Times New Roman" w:ascii="Times New Roman" w:hAnsi="Times New Roman"/>
        </w:rPr>
        <w:t>[</w:t>
      </w:r>
      <w:bookmarkStart w:id="422" w:name="__Fieldmark__12958_903549581"/>
      <w:r>
        <w:rPr>
          <w:rFonts w:cs="Times New Roman" w:ascii="Times New Roman" w:hAnsi="Times New Roman"/>
        </w:rPr>
        <w:t>35]</w:t>
      </w:r>
      <w:r>
        <w:rPr>
          <w:rFonts w:cs="Times New Roman" w:ascii="Times New Roman" w:hAnsi="Times New Roman"/>
        </w:rPr>
      </w:r>
      <w:r>
        <w:fldChar w:fldCharType="end"/>
      </w:r>
      <w:bookmarkEnd w:id="421"/>
      <w:bookmarkEnd w:id="422"/>
      <w:r>
        <w:rPr>
          <w:rFonts w:cs="Times New Roman" w:ascii="Times New Roman" w:hAnsi="Times New Roman"/>
        </w:rPr>
        <w:t xml:space="preserve">. Assuming two community visits per health facility catchment area, and under a three-dose regime, the average economic cost per dose would decrease to 17.11 US$ as coverage increases (94%). However, the average economic cost per FIG would still remain high (52.03 US$) due to the increase in the number of vaccines administered: procurement of 77,524 US$ and delivery of 36,355 US$. Alternatively, a reduction in the supervision team to 1 and the outreach team at schools to 1 vaccinator and 1 teacher would diminish the total cost to 101,619 US$ (17%) due to halving the vaccine delivery cost to 14,683 US$ and reducing supervision to 7,218 US, allowing a reduction in the average financial cost per FIG to 13.44 US$ (43.26 US$ economic cost). Finally, should the two-doses regimen have been implemented during the 2014 cycle, it would have allowed reducing the overall economic cost of the programme (90,128 US$, 26%) due to reductions in the vaccine procurement (43,190 US$, 32.76%) and delivery (19,578 US$, 33.33%), yielding to a decrease in the average economic cost per FIG to 37.89 US$, thanks to the savings in the number of school visits. A combination of these three measures would reduce the average economic cost per dose to 15.53 US$ (5.00 US$ financial cost per dose) and per FIG to 31.14 US$ (9.99 US$ financial cost per FIG). </w:t>
      </w:r>
    </w:p>
    <w:p>
      <w:pPr>
        <w:pStyle w:val="Normal"/>
        <w:spacing w:lineRule="auto" w:line="480"/>
        <w:rPr/>
      </w:pPr>
      <w:r>
        <w:rPr>
          <w:rFonts w:cs="Times New Roman" w:ascii="Times New Roman" w:hAnsi="Times New Roman"/>
        </w:rPr>
        <w:t xml:space="preserve">It is important to take into account that Manhiça district, due to its atypical socio-economic characteristics as well as circumstances related to its healthcare network privileged by the presence of a research institution, may make this district dissimilar to others, which will more likely need upgrades in the cold-chain. Thus, if Mozambique is to implement HPV vaccination targeted at 10-year-old girls in schools in a rural setting with minimal cold-chain requirements fulfilled, cuts must be made to costs. First, reduction in the outreach team to one vaccinator and one teacher must be considered. Second, the need for subsistence support to the team as well as constant supervisory visits must be revisited. Further, the EPI will most likely rely on implementation partners to support training, IEC and transportation of the brigades in the field, but approaches to sustainability must be addressed. However, as demonstration programmes in LMICs have been reported to be resource-intensive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"[17]", "plainTextFormattedCitation" : "[17]", "previouslyFormattedCitation" : "[17]" }, "properties" : {  }, "schema" : "https://github.com/citation-style-language/schema/raw/master/csl-citation.json" }</w:instrText>
      </w:r>
      <w:r>
        <w:fldChar w:fldCharType="separate"/>
      </w:r>
      <w:bookmarkStart w:id="423" w:name="__Fieldmark__9427_513475976"/>
      <w:r>
        <w:rPr>
          <w:rFonts w:cs="Times New Roman" w:ascii="Times New Roman" w:hAnsi="Times New Roman"/>
        </w:rPr>
        <w:t>[</w:t>
      </w:r>
      <w:bookmarkStart w:id="424" w:name="__Fieldmark__12966_903549581"/>
      <w:r>
        <w:rPr>
          <w:rFonts w:cs="Times New Roman" w:ascii="Times New Roman" w:hAnsi="Times New Roman"/>
        </w:rPr>
        <w:t>17]</w:t>
      </w:r>
      <w:r>
        <w:rPr>
          <w:rFonts w:cs="Times New Roman" w:ascii="Times New Roman" w:hAnsi="Times New Roman"/>
        </w:rPr>
      </w:r>
      <w:r>
        <w:fldChar w:fldCharType="end"/>
      </w:r>
      <w:bookmarkEnd w:id="423"/>
      <w:bookmarkEnd w:id="424"/>
      <w:r>
        <w:rPr>
          <w:rFonts w:cs="Times New Roman" w:ascii="Times New Roman" w:hAnsi="Times New Roman"/>
        </w:rPr>
        <w:t>, substantial economies of scale should arise with the national vaccine implementation: costs at national level would be reverted to all districts, therefore decreasing the cost per dose and cost per FIG.</w:t>
      </w:r>
    </w:p>
    <w:p>
      <w:pPr>
        <w:pStyle w:val="Normal"/>
        <w:spacing w:lineRule="auto" w:line="480"/>
        <w:rPr>
          <w:rFonts w:ascii="Times New Roman" w:hAnsi="Times New Roman" w:cs="Times New Roman"/>
        </w:rPr>
      </w:pPr>
      <w:r>
        <w:rPr>
          <w:rFonts w:cs="Times New Roman" w:ascii="Times New Roman" w:hAnsi="Times New Roman"/>
        </w:rPr>
        <w:t>Alternative estimations of the costs for delivering HPV vaccination either under a health facility delivery strategy or as part of existing programmes (adolescent health) would reveal which strategies are more efficient in the Mozambican context.</w:t>
      </w:r>
    </w:p>
    <w:p>
      <w:pPr>
        <w:pStyle w:val="Normal"/>
        <w:spacing w:lineRule="auto" w:line="480"/>
        <w:rPr>
          <w:rFonts w:ascii="Times New Roman" w:hAnsi="Times New Roman" w:cs="Times New Roman"/>
          <w:b/>
          <w:b/>
        </w:rPr>
      </w:pPr>
      <w:r>
        <w:rPr>
          <w:rFonts w:cs="Times New Roman" w:ascii="Times New Roman" w:hAnsi="Times New Roman"/>
          <w:b/>
        </w:rPr>
        <w:t>Conclusion</w:t>
      </w:r>
    </w:p>
    <w:p>
      <w:pPr>
        <w:pStyle w:val="Normal"/>
        <w:spacing w:lineRule="auto" w:line="480"/>
        <w:rPr>
          <w:rFonts w:ascii="Times New Roman" w:hAnsi="Times New Roman" w:cs="Times New Roman"/>
        </w:rPr>
      </w:pPr>
      <w:r>
        <w:rPr>
          <w:rFonts w:cs="Times New Roman" w:ascii="Times New Roman" w:hAnsi="Times New Roman"/>
        </w:rPr>
        <w:t>The demonstration programme to deliver HPV vaccination in Manhiça reached an average financial cost per dose of 6.07 US$ (17.59 US$ economic) and per FIG of 17.95 US$ (52.29 US$ economic). The cost per dose was below the mean reported from similar demonstration programmes but the cost per FIG was among the highest as out-of-school girls limited vaccine coverage. However, the financial cost per FIG could be reduced to 9.99 US$ (31.14 US$ economic) under a two-dose schedule, combined with an improvement in vaccine coverage and cuts to personnel costs. Notwithstanding, the reduction in the number of cervical cancer cases due to the vaccine preventive effect should overcome the high costs and challenges of a national scale-up of the intervention.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Abbreviations</w:t>
      </w:r>
      <w:r>
        <w:rPr>
          <w:rFonts w:cs="Times New Roman" w:ascii="Times New Roman" w:hAnsi="Times New Roman"/>
        </w:rPr>
        <w:t xml:space="preserve">: </w:t>
      </w:r>
      <w:r>
        <w:rPr>
          <w:rFonts w:cs="Times New Roman" w:ascii="Times New Roman" w:hAnsi="Times New Roman"/>
          <w:b/>
        </w:rPr>
        <w:t>CMAM</w:t>
      </w:r>
      <w:r>
        <w:rPr>
          <w:rFonts w:cs="Times New Roman" w:ascii="Times New Roman" w:hAnsi="Times New Roman"/>
        </w:rPr>
        <w:t xml:space="preserve">: Central de Medicamentos e Artigos Médicos; </w:t>
      </w:r>
      <w:r>
        <w:rPr>
          <w:rFonts w:cs="Times New Roman" w:ascii="Times New Roman" w:hAnsi="Times New Roman"/>
          <w:b/>
        </w:rPr>
        <w:t>CISM</w:t>
      </w:r>
      <w:r>
        <w:rPr>
          <w:rFonts w:cs="Times New Roman" w:ascii="Times New Roman" w:hAnsi="Times New Roman"/>
        </w:rPr>
        <w:t xml:space="preserve">: Centro de Investigação em Saúde de Manhiça; </w:t>
      </w:r>
      <w:r>
        <w:rPr>
          <w:rFonts w:cs="Times New Roman" w:ascii="Times New Roman" w:hAnsi="Times New Roman"/>
          <w:b/>
        </w:rPr>
        <w:t>DALY</w:t>
      </w:r>
      <w:r>
        <w:rPr>
          <w:rFonts w:cs="Times New Roman" w:ascii="Times New Roman" w:hAnsi="Times New Roman"/>
        </w:rPr>
        <w:t xml:space="preserve">: disability-adjusted life year; </w:t>
      </w:r>
      <w:r>
        <w:rPr>
          <w:rFonts w:cs="Times New Roman" w:ascii="Times New Roman" w:hAnsi="Times New Roman"/>
          <w:b/>
        </w:rPr>
        <w:t>EPI</w:t>
      </w:r>
      <w:r>
        <w:rPr>
          <w:rFonts w:cs="Times New Roman" w:ascii="Times New Roman" w:hAnsi="Times New Roman"/>
        </w:rPr>
        <w:t xml:space="preserve">: expanded programme on immunisation; </w:t>
      </w:r>
      <w:r>
        <w:rPr>
          <w:rFonts w:cs="Times New Roman" w:ascii="Times New Roman" w:hAnsi="Times New Roman"/>
          <w:b/>
        </w:rPr>
        <w:t>FDC</w:t>
      </w:r>
      <w:r>
        <w:rPr>
          <w:rFonts w:cs="Times New Roman" w:ascii="Times New Roman" w:hAnsi="Times New Roman"/>
        </w:rPr>
        <w:t xml:space="preserve">: Fundação para o Desenvolvimento da Comunidade; </w:t>
      </w:r>
      <w:r>
        <w:rPr>
          <w:rFonts w:cs="Times New Roman" w:ascii="Times New Roman" w:hAnsi="Times New Roman"/>
          <w:b/>
        </w:rPr>
        <w:t>FIG</w:t>
      </w:r>
      <w:r>
        <w:rPr>
          <w:rFonts w:cs="Times New Roman" w:ascii="Times New Roman" w:hAnsi="Times New Roman"/>
        </w:rPr>
        <w:t xml:space="preserve">: fully immunised girl; </w:t>
      </w:r>
      <w:r>
        <w:rPr>
          <w:rFonts w:cs="Times New Roman" w:ascii="Times New Roman" w:hAnsi="Times New Roman"/>
          <w:b/>
        </w:rPr>
        <w:t>GAVI</w:t>
      </w:r>
      <w:r>
        <w:rPr>
          <w:rFonts w:cs="Times New Roman" w:ascii="Times New Roman" w:hAnsi="Times New Roman"/>
        </w:rPr>
        <w:t xml:space="preserve">: Global Alliance for Vaccines and Immunisations; </w:t>
      </w:r>
      <w:r>
        <w:rPr>
          <w:rFonts w:cs="Times New Roman" w:ascii="Times New Roman" w:hAnsi="Times New Roman"/>
          <w:b/>
        </w:rPr>
        <w:t>GNI</w:t>
      </w:r>
      <w:r>
        <w:rPr>
          <w:rFonts w:cs="Times New Roman" w:ascii="Times New Roman" w:hAnsi="Times New Roman"/>
        </w:rPr>
        <w:t xml:space="preserve">: gross national income; </w:t>
      </w:r>
      <w:r>
        <w:rPr>
          <w:rFonts w:cs="Times New Roman" w:ascii="Times New Roman" w:hAnsi="Times New Roman"/>
          <w:b/>
        </w:rPr>
        <w:t>HPV</w:t>
      </w:r>
      <w:r>
        <w:rPr>
          <w:rFonts w:cs="Times New Roman" w:ascii="Times New Roman" w:hAnsi="Times New Roman"/>
        </w:rPr>
        <w:t xml:space="preserve">: human papillomavirus; </w:t>
      </w:r>
      <w:r>
        <w:rPr>
          <w:rFonts w:cs="Times New Roman" w:ascii="Times New Roman" w:hAnsi="Times New Roman"/>
          <w:b/>
        </w:rPr>
        <w:t>IEC</w:t>
      </w:r>
      <w:r>
        <w:rPr>
          <w:rFonts w:cs="Times New Roman" w:ascii="Times New Roman" w:hAnsi="Times New Roman"/>
        </w:rPr>
        <w:t xml:space="preserve">: Information, Education and Communication; </w:t>
      </w:r>
      <w:r>
        <w:rPr>
          <w:rFonts w:cs="Times New Roman" w:ascii="Times New Roman" w:hAnsi="Times New Roman"/>
          <w:b/>
        </w:rPr>
        <w:t>LMIC</w:t>
      </w:r>
      <w:r>
        <w:rPr>
          <w:rFonts w:cs="Times New Roman" w:ascii="Times New Roman" w:hAnsi="Times New Roman"/>
        </w:rPr>
        <w:t xml:space="preserve">: low- and middle-income country; </w:t>
      </w:r>
      <w:r>
        <w:rPr>
          <w:rFonts w:cs="Times New Roman" w:ascii="Times New Roman" w:hAnsi="Times New Roman"/>
          <w:b/>
        </w:rPr>
        <w:t>MoH</w:t>
      </w:r>
      <w:r>
        <w:rPr>
          <w:rFonts w:cs="Times New Roman" w:ascii="Times New Roman" w:hAnsi="Times New Roman"/>
        </w:rPr>
        <w:t xml:space="preserve">: Ministry of Health; </w:t>
      </w:r>
      <w:r>
        <w:rPr>
          <w:rFonts w:cs="Times New Roman" w:ascii="Times New Roman" w:hAnsi="Times New Roman"/>
          <w:b/>
        </w:rPr>
        <w:t>MoE</w:t>
      </w:r>
      <w:r>
        <w:rPr>
          <w:rFonts w:cs="Times New Roman" w:ascii="Times New Roman" w:hAnsi="Times New Roman"/>
        </w:rPr>
        <w:t xml:space="preserve">: Ministry of Education; </w:t>
      </w:r>
      <w:r>
        <w:rPr>
          <w:rFonts w:cs="Times New Roman" w:ascii="Times New Roman" w:hAnsi="Times New Roman"/>
          <w:b/>
        </w:rPr>
        <w:t>UNICEF</w:t>
      </w:r>
      <w:r>
        <w:rPr>
          <w:rFonts w:cs="Times New Roman" w:ascii="Times New Roman" w:hAnsi="Times New Roman"/>
        </w:rPr>
        <w:t xml:space="preserve">: United Nations International Children’s Emergency Fund; </w:t>
      </w:r>
      <w:r>
        <w:rPr>
          <w:rFonts w:cs="Times New Roman" w:ascii="Times New Roman" w:hAnsi="Times New Roman"/>
          <w:b/>
        </w:rPr>
        <w:t>WHO</w:t>
      </w:r>
      <w:r>
        <w:rPr>
          <w:rFonts w:cs="Times New Roman" w:ascii="Times New Roman" w:hAnsi="Times New Roman"/>
        </w:rPr>
        <w:t>: World Health Organisation.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Declarations</w:t>
      </w:r>
    </w:p>
    <w:p>
      <w:pPr>
        <w:pStyle w:val="Normal"/>
        <w:spacing w:lineRule="auto" w:line="480"/>
        <w:rPr>
          <w:rFonts w:ascii="Times New Roman" w:hAnsi="Times New Roman" w:cs="Times New Roman"/>
        </w:rPr>
      </w:pPr>
      <w:r>
        <w:rPr>
          <w:rFonts w:cs="Times New Roman" w:ascii="Times New Roman" w:hAnsi="Times New Roman"/>
          <w:u w:val="single"/>
        </w:rPr>
        <w:t>Acknowledgments:</w:t>
      </w:r>
      <w:r>
        <w:rPr>
          <w:rFonts w:cs="Times New Roman" w:ascii="Times New Roman" w:hAnsi="Times New Roman"/>
        </w:rPr>
        <w:t xml:space="preserve"> the authors thank all participants from the Ministry of Health and Education, as well as their District and Provincial Directorates, for their involvement in the project.</w:t>
      </w:r>
    </w:p>
    <w:p>
      <w:pPr>
        <w:pStyle w:val="Normal"/>
        <w:spacing w:lineRule="auto" w:line="480"/>
        <w:rPr>
          <w:rFonts w:ascii="Times New Roman" w:hAnsi="Times New Roman" w:cs="Times New Roman"/>
        </w:rPr>
      </w:pPr>
      <w:r>
        <w:rPr>
          <w:rFonts w:cs="Times New Roman" w:ascii="Times New Roman" w:hAnsi="Times New Roman"/>
          <w:u w:val="single"/>
        </w:rPr>
        <w:t xml:space="preserve">Ethics and approval consent to participate: </w:t>
      </w:r>
      <w:r>
        <w:rPr>
          <w:rFonts w:cs="Times New Roman" w:ascii="Times New Roman" w:hAnsi="Times New Roman"/>
        </w:rPr>
        <w:t>the viability studies to implement the HPV vaccination programme were approved by the Institutional Review Board of the CISM (CIBS-CISM).</w:t>
      </w:r>
    </w:p>
    <w:p>
      <w:pPr>
        <w:pStyle w:val="Normal"/>
        <w:spacing w:lineRule="auto" w:line="480"/>
        <w:rPr>
          <w:rFonts w:ascii="Times New Roman" w:hAnsi="Times New Roman" w:cs="Times New Roman"/>
          <w:u w:val="single"/>
        </w:rPr>
      </w:pPr>
      <w:r>
        <w:rPr>
          <w:rFonts w:cs="Times New Roman" w:ascii="Times New Roman" w:hAnsi="Times New Roman"/>
          <w:u w:val="single"/>
        </w:rPr>
        <w:t>Consent for publication:</w:t>
      </w:r>
      <w:r>
        <w:rPr>
          <w:rFonts w:cs="Times New Roman" w:ascii="Times New Roman" w:hAnsi="Times New Roman"/>
        </w:rPr>
        <w:t xml:space="preserve"> Not applicable. </w:t>
      </w:r>
    </w:p>
    <w:p>
      <w:pPr>
        <w:pStyle w:val="Normal"/>
        <w:spacing w:lineRule="auto" w:line="480"/>
        <w:rPr>
          <w:rFonts w:ascii="Times New Roman" w:hAnsi="Times New Roman" w:cs="Times New Roman"/>
          <w:u w:val="single"/>
        </w:rPr>
      </w:pPr>
      <w:r>
        <w:rPr>
          <w:rFonts w:cs="Times New Roman" w:ascii="Times New Roman" w:hAnsi="Times New Roman"/>
          <w:u w:val="single"/>
        </w:rPr>
        <w:t xml:space="preserve">Availability of data and materials: </w:t>
      </w:r>
      <w:r>
        <w:rPr>
          <w:rFonts w:cs="Times New Roman" w:ascii="Times New Roman" w:hAnsi="Times New Roman"/>
        </w:rPr>
        <w:t>The datasets used and/or analysed during the current study are available from the corresponding author on reasonable request.</w:t>
      </w:r>
    </w:p>
    <w:p>
      <w:pPr>
        <w:pStyle w:val="Normal"/>
        <w:spacing w:lineRule="auto" w:line="480"/>
        <w:rPr>
          <w:rFonts w:ascii="Times New Roman" w:hAnsi="Times New Roman" w:cs="Times New Roman"/>
          <w:u w:val="single"/>
        </w:rPr>
      </w:pPr>
      <w:r>
        <w:rPr>
          <w:rFonts w:cs="Times New Roman" w:ascii="Times New Roman" w:hAnsi="Times New Roman"/>
          <w:u w:val="single"/>
        </w:rPr>
        <w:t>Competing interests:</w:t>
      </w:r>
      <w:r>
        <w:rPr>
          <w:rFonts w:cs="Times New Roman" w:ascii="Times New Roman" w:hAnsi="Times New Roman"/>
        </w:rPr>
        <w:t xml:space="preserve"> None declared.</w:t>
      </w:r>
    </w:p>
    <w:p>
      <w:pPr>
        <w:pStyle w:val="Normal"/>
        <w:spacing w:lineRule="auto" w:line="480"/>
        <w:rPr>
          <w:rFonts w:ascii="Times New Roman" w:hAnsi="Times New Roman" w:cs="Times New Roman"/>
        </w:rPr>
      </w:pPr>
      <w:r>
        <w:rPr>
          <w:rFonts w:cs="Times New Roman" w:ascii="Times New Roman" w:hAnsi="Times New Roman"/>
          <w:u w:val="single"/>
        </w:rPr>
        <w:t>Funding:</w:t>
      </w:r>
      <w:r>
        <w:rPr>
          <w:rFonts w:cs="Times New Roman" w:ascii="Times New Roman" w:hAnsi="Times New Roman"/>
        </w:rPr>
        <w:t xml:space="preserve"> The study was funded by GAVI, the Vaccine Alliance.</w:t>
      </w:r>
    </w:p>
    <w:p>
      <w:pPr>
        <w:pStyle w:val="Normal"/>
        <w:spacing w:lineRule="auto" w:line="480"/>
        <w:rPr>
          <w:rFonts w:ascii="Times New Roman" w:hAnsi="Times New Roman" w:cs="Times New Roman"/>
          <w:u w:val="single"/>
        </w:rPr>
      </w:pPr>
      <w:r>
        <w:rPr>
          <w:rFonts w:cs="Times New Roman" w:ascii="Times New Roman" w:hAnsi="Times New Roman"/>
          <w:u w:val="single"/>
        </w:rPr>
        <w:t>Authors’ contributions:</w:t>
      </w:r>
      <w:r>
        <w:rPr>
          <w:rFonts w:cs="Times New Roman" w:ascii="Times New Roman" w:hAnsi="Times New Roman"/>
        </w:rPr>
        <w:t xml:space="preserve"> KM and EsS designed the study. SA undertook the interviews and collected data with the support of YM and OC. SA analysed data. SA, ElS and KM interpreted data and wrote the manuscript. All authors read and approved the final manuscript.</w:t>
      </w:r>
    </w:p>
    <w:p>
      <w:pPr>
        <w:pStyle w:val="Normal"/>
        <w:spacing w:lineRule="auto" w:line="480"/>
        <w:rPr/>
      </w:pPr>
      <w:r>
        <w:rPr/>
      </w:r>
      <w:r>
        <w:br w:type="page"/>
      </w:r>
    </w:p>
    <w:p>
      <w:pPr>
        <w:pStyle w:val="Normal"/>
        <w:spacing w:lineRule="auto" w:line="480"/>
        <w:rPr>
          <w:rFonts w:ascii="Times New Roman" w:hAnsi="Times New Roman" w:cs="Times New Roman"/>
          <w:b/>
          <w:b/>
          <w:color w:val="000000" w:themeColor="text1"/>
        </w:rPr>
      </w:pPr>
      <w:bookmarkStart w:id="425" w:name="_Toc460593308"/>
      <w:bookmarkEnd w:id="425"/>
      <w:r>
        <w:rPr>
          <w:rFonts w:cs="Times New Roman" w:ascii="Times New Roman" w:hAnsi="Times New Roman"/>
          <w:b/>
          <w:color w:val="000000" w:themeColor="text1"/>
        </w:rPr>
        <w:t>References</w:t>
      </w:r>
    </w:p>
    <w:p>
      <w:pPr>
        <w:pStyle w:val="Normal"/>
        <w:widowControl w:val="false"/>
        <w:ind w:left="640" w:hanging="640"/>
        <w:rPr/>
      </w:pPr>
      <w:r>
        <w:fldChar w:fldCharType="begin"/>
      </w:r>
      <w:r>
        <w:instrText>ADDIN Mendeley Bibliography CSL_BIBLIOGRAPHY</w:instrText>
      </w:r>
      <w:r>
        <w:fldChar w:fldCharType="separate"/>
      </w:r>
      <w:bookmarkStart w:id="426" w:name="__Fieldmark__9489_513475976"/>
      <w:r>
        <w:rPr/>
      </w:r>
      <w:r>
        <w:rPr>
          <w:rFonts w:cs="Times New Roman" w:ascii="Times New Roman" w:hAnsi="Times New Roman"/>
          <w:lang w:val="es-ES"/>
        </w:rPr>
        <w:t>1</w:t>
      </w:r>
      <w:bookmarkStart w:id="427" w:name="__Fieldmark__13025_903549581"/>
      <w:r>
        <w:rPr>
          <w:rFonts w:cs="Times New Roman" w:ascii="Times New Roman" w:hAnsi="Times New Roman"/>
          <w:lang w:val="es-ES"/>
        </w:rPr>
        <w:t xml:space="preserve">. </w:t>
        <w:tab/>
        <w:t>Ferlay J, Soerjomataram I I, Dikshit R, Eser S, Mathers C, Rebelo M, et al. Cancer incidence and mortality worldwide: sources, methods and major patterns in GLOBOCAN 2012. Int J Cancer [Internet]. 2015;136(5):E359-386. Available from: http://www.ncbi.nlm.nih.gov/pubmed/25220842</w:t>
      </w:r>
      <w:bookmarkEnd w:id="426"/>
      <w:bookmarkEnd w:id="427"/>
      <w:r>
        <w:rPr/>
      </w:r>
      <w:r>
        <w:fldChar w:fldCharType="end"/>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 </w:t>
        <w:tab/>
        <w:t>World Health Organization. Cervical cancer, human papillomavirus (HPV), and HPV vaccines. Key points for policy-makers and health professionals [Internet]. Geneve; 2007. Available from: http://apps.who.int/iris/bitstream/10665/69873/1/WHO_RHR_08.14_eng.pdf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 </w:t>
        <w:tab/>
        <w:t xml:space="preserve">ICO Information Centre on HPV and Cancer. Mozambique. Human Papillomavirus and Related Cancers, Fact Sheet 2017. 2017;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4. </w:t>
        <w:tab/>
        <w:t xml:space="preserve">Lorenzoni C, Vilajeliu A, Carrilho C, Ismail MR, Castillo P, Augusto O, et al. Trends in cancer incidence in Maputo, Mozambique, 1991-2008. PLoS One. 2015;10(6):1–12.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5. </w:t>
        <w:tab/>
        <w:t>World Health Organization. Comprehensive Cervical Cancer Control. WHO Libr Cat Data [Internet]. 2014;364. Available from: http://www.who.int/reproductivehealth/publications/cancers/cervical-cancer-guide/en/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6. </w:t>
        <w:tab/>
        <w:t xml:space="preserve">Bruni L, Diaz M, Barrionuevo-Rosas L, Herrero R, Bray F, Bosch FX, et al. Global estimates of human papillomavirus vaccination coverage by region and income level: A pooled analysis. Lancet Glob Heal. 2016;4(7):e453–63.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7. </w:t>
        <w:tab/>
        <w:t xml:space="preserve">LaMontagne DS, Bloem PJN, Brotherton JML, Gallagher KE, Badiane O, Ndiaye C. Progress in HPV vaccination in low- and lower-middle-income countries. Int J Gynecol Obstet. 2017;138:7–14.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8. </w:t>
        <w:tab/>
        <w:t>UNICEF. Vaccine price data [Internet]. 2017 [cited 2018 Jan 29]. Available from: https://www.unicef.org/supply/files/HPV_.pdf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9. </w:t>
        <w:tab/>
        <w:t>Hanson C, Eckert L, Bloem P, Cernuschi T. Gavi HPV Programs: Application to Implementation. Vaccines [Internet]. 2015;3(2):408–19. Available from: http://www.mdpi.com/2076-393X/3/2/408/</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10. </w:t>
        <w:tab/>
        <w:t xml:space="preserve">Toh ZQ, Licciardi P V, Russell FM, Garland SM, Batmunkh T, Mulholland EK. Cervical Cancer Prevention Through HPV Vaccination in Low- and Middle-Income Countries in Asia. Asian Pac J Cancer Prev. 2017;18(9):2339–43.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11. </w:t>
        <w:tab/>
        <w:t>Kim JJ, Campos NG, O’Shea M, Diaz M, Mutyaba I. Model-based impact and cost-effectiveness of cervical cancer prevention in sub-saharan Africa. Vaccine [Internet]. 2013;31(S5):F60–72. Available from: http://dx.doi.org/10.1016/j.vaccine.2012.07.093</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12. </w:t>
        <w:tab/>
        <w:t>Wigle J, Coast E, Watson-Jones D. Human papillomavirus (HPV) vaccine implementation in low and middle-income countries (LMICs): Health system experiences and prospects. Vaccine [Internet]. 2013;31(37):3811–7. Available from: http://dx.doi.org/10.1016/j.vaccine.2013.06.016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13. </w:t>
        <w:tab/>
        <w:t>Levin CE, Van Minh H, Odaga J, Rout SS, Ngoc DNT, Menezes L, et al. Delivery cost of human papillomavirus vaccination of young adolescent girls in Peru, Uganda and Viet Nam. Bull World Health Organ [Internet]. 2013;91(8):585–92. Available from: http://www.pubmedcentral.nih.gov/articlerender.fcgi?artid=3738308&amp;tool=pmcentrez&amp;rendertype=abstract</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14. </w:t>
        <w:tab/>
        <w:t>Gallagher KE, Howard N, Kabakama S, Mounier-Jack S, Burchett HED, LaMontagne DS, et al. Human papillomavirus (HPV) vaccine coverage achievements in low and middle-income countries 2007–2016. Papillomavirus Res [Internet]. 2017;4(October):72–8. Available from: https://doi.org/10.1016/j.pvr.2017.09.001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15. </w:t>
        <w:tab/>
        <w:t xml:space="preserve">Fregnani JHTG, Carvalho AL, Eluf-Neto J, Ribeiro K de CB, Kuil L de M, da Silva TA, et al. A School-Based Human Papillomavirus Vaccination Program in Barretos, Brazil: Final Results of a Demonstrative Study. PLoS One. 2013;8(4):1–9.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16. </w:t>
        <w:tab/>
        <w:t>Bonner K, Banura C, Basta NE. HPV vaccination strategies targeting hard-to-reach populations: Out-of-school girls in LMICs. Vaccine [Internet]. 2017;36(2):191–3. Available from: http://linkinghub.elsevier.com/retrieve/pii/S0264410X1731602X%0Ahttp://www.ncbi.nlm.nih.gov/pubmed/29198915</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17. </w:t>
        <w:tab/>
        <w:t xml:space="preserve">Botwright S, Holroyd T, Nanda S, Bloem P, Griffiths UK, Sidibe A, et al. Experiences of operational costs of HPV vaccine delivery strategies in Gavi-supported demonstration projects. PLoS One. 2017;12(10):1–13.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18. </w:t>
        <w:tab/>
        <w:t xml:space="preserve">Hutubessy R, Levin A, Wang S, Morgan W, Ally M, John T, et al. A case study using the United Republic of Tanzania: costing nationwide HPV vaccine delivery using the WHO Cervical Cancer Prevention and Control Costing Tool. BMC Med. 2012;10:136.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19. </w:t>
        <w:tab/>
        <w:t xml:space="preserve">Levin A, Wang SA, Levin C, Tsu V, Hutubessy R. Costs of introducing and delivering HPV vaccines in low and lower middle income countries: Inputs for GAVI policy on introduction grant support to countries. PLoS One. 2014;9(6).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20. </w:t>
        <w:tab/>
        <w:t xml:space="preserve">Quentin W, Terris-prestholt F, Changalucha J, Soteli S, Edmunds WJ, Hutubessy R, et al. Costs of delivering human papillomavirus vaccination to schoolgirls in Mwanza Region, Tanzania. BMC Med. 2012;10(137).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21. </w:t>
        <w:tab/>
        <w:t xml:space="preserve">Moon TD, Silva-Matos C, Cordoso A, Baptista AJ, Sidat M, Vermund SH. Implementation of cervical cancer screening using visual inspection with acetic acid in rural Mozambique: Successes and challenges using HIV care and treatment programme investments in Zambézia Province. J Int AIDS Soc. 2012;15(2):2–8.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22. </w:t>
        <w:tab/>
        <w:t xml:space="preserve">Department of Public Health – Expanded Program on Immunization. Ministry of Health. Republic of Mozambique. HPV demonstration programme – year 1. Technical report on the post-introduction evaluation of HPV vaccine in Manhiça, Mozambique. Maputo; 2015.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23. </w:t>
        <w:tab/>
        <w:t>GAVI the Vaccine Alliance. GAVI supporting guidelines [Internet]. 2018 [cited 2017 Jan 26]. Available from: http://www.gavi.org/support/process/apply/</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24. </w:t>
        <w:tab/>
        <w:t xml:space="preserve">Instituto Nacional de Estadística. Estatísticas do Distrito de Manhiça. Maputo, Republic of Mozambique; 2013.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25. </w:t>
        <w:tab/>
        <w:t>Sacoor C, Nhacolo A, Nhalungo D, Aponte JJ, Bassat Q, Augusto O, et al. Profile: Manhiça Health Research Centre (Manhiça HDSS). Int J Epidemiol [Internet]. 2013 Oct [cited 2014 Aug 1];42(5):1309–18. Available from: http://www.ncbi.nlm.nih.gov/pubmed/24159076</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26. </w:t>
        <w:tab/>
        <w:t>Burchett HED, Mounier-Jack S, Torres-Rueda S, Griffiths UK, Ongolo-Zogo P, Rulisa S, et al. The impact of introducing new vaccines on the health system: Case studies from six low- and middle-income countries. Vaccine [Internet]. 2014;32(48):6505–12. Available from: http://dx.doi.org/10.1016/j.vaccine.2014.09.031</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27. </w:t>
        <w:tab/>
        <w:t xml:space="preserve">Ministry of Health. Republic of Mozambique. Relatório da implementação da tercera dose de HPV a nível distrito da Manhiça.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28. </w:t>
        <w:tab/>
        <w:t>World Health Organization. WHO Cervical Cancer Prevention and Control Costing Tool (C4P) [Internet]. 2015 [cited 2018 Jan 11]. Available from: http://www.who.int/immunization/diseases/hpv/cervical_cancer_costing_tool/en/</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29. </w:t>
        <w:tab/>
        <w:t>The World Bank. Official exchange rate (LCU oer US$, period average) [Internet]. [cited 2018 Jan 11]. Available from: https://data.worldbank.org/indicator/PA.NUS.FCRF?end=2014&amp;start=1960</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30. </w:t>
        <w:tab/>
        <w:t xml:space="preserve">Johns B, Baltussen R, Hutubessy R. Programme costs in the economic evaluation of health interventions. Cost Eff an Resour Alloc. 2003;1:1.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31. </w:t>
        <w:tab/>
        <w:t>World Health Organization. Guidelines for estimating costs of introducing new vaccines into the national immunization system [Internet]. Geneve; 2002. Available from: http://apps.who.int/iris/bitstream/10665/67342/1/WHO_V-B_02.11_eng.pdf</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32. </w:t>
        <w:tab/>
        <w:t xml:space="preserve">Lee B, Haidari L, Prosser W, Connor D, Bechtel R, Dipuve A, et al. Re-designing the Mozambique vaccine supply chain to improve access to vaccines. Vaccine. 2016;34(41):4998–5004.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33. </w:t>
        <w:tab/>
        <w:t xml:space="preserve">Ministério de Saúde em colaboração com OMS e UNICEF. Plano de Reabilitação e Expansão da Cadeia de Frio de Vacinas – Primeira Actualização. Maputo; 2014. </w:t>
      </w:r>
    </w:p>
    <w:p>
      <w:pPr>
        <w:pStyle w:val="Normal"/>
        <w:widowControl w:val="false"/>
        <w:ind w:left="640" w:hanging="640"/>
        <w:rPr>
          <w:rFonts w:ascii="Times New Roman" w:hAnsi="Times New Roman" w:cs="Times New Roman"/>
          <w:lang w:val="es-ES"/>
        </w:rPr>
      </w:pPr>
      <w:r>
        <w:rPr>
          <w:rFonts w:cs="Times New Roman" w:ascii="Times New Roman" w:hAnsi="Times New Roman"/>
          <w:lang w:val="es-ES"/>
        </w:rPr>
        <w:t xml:space="preserve">34. </w:t>
        <w:tab/>
        <w:t>World Health Organization. Evidence based recommendations on Human Papilloma Virus (HPV) Vaccines Schedules. Background paper for SAGE discussions. [Internet]. 2014. Available from: http://www.who.int/immunization/sage/meetings/2014/april/1_HPV_Evidence_based_recommendationsWHO_with_Appendices2_3.pdf?ua=1</w:t>
      </w:r>
    </w:p>
    <w:p>
      <w:pPr>
        <w:pStyle w:val="Normal"/>
        <w:widowControl w:val="false"/>
        <w:ind w:left="640" w:hanging="640"/>
        <w:rPr>
          <w:rFonts w:ascii="Times New Roman" w:hAnsi="Times New Roman" w:cs="Times New Roman"/>
        </w:rPr>
      </w:pPr>
      <w:r>
        <w:rPr>
          <w:rFonts w:cs="Times New Roman" w:ascii="Times New Roman" w:hAnsi="Times New Roman"/>
          <w:lang w:val="es-ES"/>
        </w:rPr>
        <w:t xml:space="preserve">35. </w:t>
        <w:tab/>
        <w:t>Roodenbeke E De, Lucas S, Rouzaut A, Bana F. Outreach services as a strategy to increase access to health workers in remote and rural areas. World Heal Organ [Internet]. 2011;(2):48. Available from: http://www.ihf-fih.org/sp/content/download/573/4386/file/IHF Contribution- mobilizing hospital workers through outreach services.pdf</w:t>
      </w:r>
    </w:p>
    <w:p>
      <w:pPr>
        <w:pStyle w:val="Normal"/>
        <w:widowControl w:val="false"/>
        <w:ind w:left="640" w:hanging="640"/>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Supplementary file</w:t>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List of interviewees according to their role in process</w:t>
      </w:r>
    </w:p>
    <w:tbl>
      <w:tblPr>
        <w:tblW w:w="7513" w:type="dxa"/>
        <w:jc w:val="left"/>
        <w:tblInd w:w="0" w:type="dxa"/>
        <w:tblBorders/>
        <w:tblCellMar>
          <w:top w:w="0" w:type="dxa"/>
          <w:left w:w="0" w:type="dxa"/>
          <w:bottom w:w="0" w:type="dxa"/>
          <w:right w:w="0" w:type="dxa"/>
        </w:tblCellMar>
        <w:tblLook w:val="04a0" w:noVBand="1" w:noHBand="0" w:lastColumn="0" w:firstColumn="1" w:lastRow="0" w:firstRow="1"/>
      </w:tblPr>
      <w:tblGrid>
        <w:gridCol w:w="2425"/>
        <w:gridCol w:w="2589"/>
        <w:gridCol w:w="1153"/>
        <w:gridCol w:w="1345"/>
      </w:tblGrid>
      <w:tr>
        <w:trPr>
          <w:trHeight w:val="735"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Institution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Position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and interviewed</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b/>
                <w:bCs/>
                <w:color w:val="222222"/>
                <w:sz w:val="17"/>
                <w:szCs w:val="17"/>
              </w:rPr>
              <w:t>Contacted but not interviewed</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CISM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Medical technician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Manhiça District Hospital</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Physician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Distrital Educação Manhiça</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Health promotion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Education</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Programas Especiais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CMAM</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Deputy director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Current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Former EPI chief</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Financial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Logistics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Data manager</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Ministry of Health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Supervisor in HPV demo</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Direcção Provincial Saúde Maputo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Provincial EPI responsible</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WHO</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UNICEF</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Village Reach</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USAID</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r>
      <w:tr>
        <w:trPr>
          <w:trHeight w:val="300" w:hRule="atLeast"/>
        </w:trPr>
        <w:tc>
          <w:tcPr>
            <w:tcW w:w="242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FDC</w:t>
            </w:r>
          </w:p>
        </w:tc>
        <w:tc>
          <w:tcPr>
            <w:tcW w:w="2589"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Involved in HPV project</w:t>
            </w:r>
          </w:p>
        </w:tc>
        <w:tc>
          <w:tcPr>
            <w:tcW w:w="1153"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t>YES</w:t>
            </w:r>
          </w:p>
        </w:tc>
        <w:tc>
          <w:tcPr>
            <w:tcW w:w="1345" w:type="dxa"/>
            <w:tcBorders/>
            <w:shd w:color="auto" w:fill="FFFFFF" w:val="clear"/>
            <w:vAlign w:val="center"/>
          </w:tcPr>
          <w:p>
            <w:pPr>
              <w:pStyle w:val="Normal"/>
              <w:rPr>
                <w:rFonts w:ascii="Times New Roman" w:hAnsi="Times New Roman" w:eastAsia="Times New Roman" w:cs="Times New Roman"/>
                <w:color w:val="222222"/>
                <w:sz w:val="17"/>
                <w:szCs w:val="17"/>
              </w:rPr>
            </w:pPr>
            <w:r>
              <w:rPr>
                <w:rFonts w:eastAsia="Times New Roman" w:cs="Times New Roman" w:ascii="Times New Roman" w:hAnsi="Times New Roman"/>
                <w:color w:val="222222"/>
                <w:sz w:val="17"/>
                <w:szCs w:val="17"/>
              </w:rPr>
            </w:r>
          </w:p>
        </w:tc>
      </w:tr>
    </w:tbl>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Annex S2</w:t>
      </w:r>
      <w:r>
        <w:rPr>
          <w:rFonts w:cs="Times New Roman" w:ascii="Times New Roman" w:hAnsi="Times New Roman"/>
        </w:rPr>
        <w:t>. Role of the programme partners</w:t>
      </w:r>
    </w:p>
    <w:p>
      <w:pPr>
        <w:pStyle w:val="Normal"/>
        <w:spacing w:lineRule="auto" w:line="480"/>
        <w:rPr>
          <w:rFonts w:ascii="Times New Roman" w:hAnsi="Times New Roman"/>
          <w:u w:val="single"/>
        </w:rPr>
      </w:pPr>
      <w:r>
        <w:rPr>
          <w:rFonts w:cs="Times New Roman" w:ascii="Times New Roman" w:hAnsi="Times New Roman"/>
          <w:color w:val="000000" w:themeColor="text1"/>
          <w:u w:val="single"/>
        </w:rPr>
        <w:t>Role of the Ministry of Education</w:t>
      </w:r>
    </w:p>
    <w:p>
      <w:pPr>
        <w:pStyle w:val="Normal"/>
        <w:spacing w:lineRule="auto" w:line="480"/>
        <w:rPr>
          <w:rFonts w:ascii="Times New Roman" w:hAnsi="Times New Roman" w:cs="Times New Roman"/>
        </w:rPr>
      </w:pPr>
      <w:r>
        <w:rPr>
          <w:rFonts w:cs="Times New Roman" w:ascii="Times New Roman" w:hAnsi="Times New Roman"/>
        </w:rPr>
        <w:t>The District Directorate of Education</w:t>
      </w:r>
      <w:r>
        <w:rPr>
          <w:rFonts w:cs="Times New Roman" w:ascii="Times New Roman" w:hAnsi="Times New Roman"/>
          <w:u w:val="single"/>
        </w:rPr>
        <w:t xml:space="preserve"> (</w:t>
      </w:r>
      <w:r>
        <w:rPr>
          <w:rFonts w:cs="Times New Roman" w:ascii="Times New Roman" w:hAnsi="Times New Roman"/>
        </w:rPr>
        <w:t xml:space="preserve">DDE) did not receive direct financial support from the Ministry of Health (MoH) to implement the human papillomavirus (HPV) programme in the district. In preparation to the campaign, its task consisted in coordinating the identification of the 10-year-old girls with the support of the Centro de Investigação em Saúde de Manhiça (CISM). During this process, teachers used the girls name as the personal identification and recorded the information in registration books at each school; censing the target population. On one hand, the school-based census allowed achieving the vaccination of almost all girls enrolled at school (table S2.1). On the other hand, this approach did not allow reaching out-of-school girls in the community. Manhiça DDE did an effort to actively participate in the capacity building which took place prior to the start of each vaccination cycle and targeted at both health and education professionals. Discussions at central level resulted in the recommendation of cascade training targeting the Pedagogic Influence Zones, which were in total 17. One or two DDE representatives were supervising the course of the programme during 7 days (65 US$ </w:t>
      </w:r>
      <w:r>
        <w:rPr>
          <w:rFonts w:cs="Times New Roman" w:ascii="Times New Roman" w:hAnsi="Times New Roman"/>
          <w:i/>
        </w:rPr>
        <w:t>per diem</w:t>
      </w:r>
      <w:r>
        <w:rPr>
          <w:rFonts w:cs="Times New Roman" w:ascii="Times New Roman" w:hAnsi="Times New Roman"/>
        </w:rPr>
        <w:t>), implying the use of one car to travel to some of the schools in the district (average estimation of 32 US$ per return trip).</w:t>
      </w:r>
    </w:p>
    <w:p>
      <w:pPr>
        <w:pStyle w:val="Normal"/>
        <w:spacing w:lineRule="auto" w:line="480"/>
        <w:rPr>
          <w:rFonts w:ascii="Times New Roman" w:hAnsi="Times New Roman" w:cs="Times New Roman"/>
        </w:rPr>
      </w:pPr>
      <w:r>
        <w:rPr>
          <w:rFonts w:cs="Times New Roman" w:ascii="Times New Roman" w:hAnsi="Times New Roman"/>
        </w:rPr>
        <w:t>Table S2.1. Target girls and coverage for different rounds of vaccination</w:t>
      </w:r>
    </w:p>
    <w:tbl>
      <w:tblPr>
        <w:tblStyle w:val="Tablaconcuadrcula"/>
        <w:tblW w:w="6975" w:type="dxa"/>
        <w:jc w:val="left"/>
        <w:tblInd w:w="0" w:type="dxa"/>
        <w:tblCellMar>
          <w:top w:w="0" w:type="dxa"/>
          <w:left w:w="113" w:type="dxa"/>
          <w:bottom w:w="0" w:type="dxa"/>
          <w:right w:w="108" w:type="dxa"/>
        </w:tblCellMar>
        <w:tblLook w:val="04a0" w:noVBand="1" w:noHBand="0" w:lastColumn="0" w:firstColumn="1" w:lastRow="0" w:firstRow="1"/>
      </w:tblPr>
      <w:tblGrid>
        <w:gridCol w:w="1743"/>
        <w:gridCol w:w="1744"/>
        <w:gridCol w:w="1744"/>
        <w:gridCol w:w="1743"/>
      </w:tblGrid>
      <w:tr>
        <w:trPr/>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Target girls</w:t>
            </w:r>
          </w:p>
        </w:tc>
        <w:tc>
          <w:tcPr>
            <w:tcW w:w="1744"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Girls vaccinated</w:t>
            </w:r>
          </w:p>
        </w:tc>
        <w:tc>
          <w:tcPr>
            <w:tcW w:w="1743" w:type="dxa"/>
            <w:tcBorders>
              <w:top w:val="nil"/>
              <w:left w:val="nil"/>
              <w:bottom w:val="single" w:sz="4" w:space="0" w:color="000001"/>
              <w:right w:val="nil"/>
              <w:insideH w:val="single" w:sz="4" w:space="0" w:color="000001"/>
              <w:insideV w:val="nil"/>
            </w:tcBorders>
            <w:shd w:color="auto" w:fill="auto" w:val="clear"/>
          </w:tcPr>
          <w:p>
            <w:pPr>
              <w:pStyle w:val="Normal"/>
              <w:spacing w:lineRule="auto" w:line="480" w:before="0" w:after="200"/>
              <w:rPr>
                <w:rFonts w:ascii="Times New Roman" w:hAnsi="Times New Roman" w:cs="Times New Roman"/>
              </w:rPr>
            </w:pPr>
            <w:r>
              <w:rPr>
                <w:rFonts w:cs="Times New Roman" w:ascii="Times New Roman" w:hAnsi="Times New Roman"/>
              </w:rPr>
              <w:t>Coverage</w:t>
            </w:r>
          </w:p>
        </w:tc>
      </w:tr>
      <w:tr>
        <w:trPr/>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1</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2,365</w:t>
            </w:r>
          </w:p>
        </w:tc>
        <w:tc>
          <w:tcPr>
            <w:tcW w:w="1743"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103.7</w:t>
            </w:r>
          </w:p>
        </w:tc>
      </w:tr>
      <w:tr>
        <w:trPr/>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2</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2,307</w:t>
            </w:r>
          </w:p>
        </w:tc>
        <w:tc>
          <w:tcPr>
            <w:tcW w:w="1743"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101.2</w:t>
            </w:r>
          </w:p>
        </w:tc>
      </w:tr>
      <w:tr>
        <w:trPr/>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Round 3</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2,280</w:t>
            </w:r>
          </w:p>
        </w:tc>
        <w:tc>
          <w:tcPr>
            <w:tcW w:w="1744"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2,276</w:t>
            </w:r>
          </w:p>
        </w:tc>
        <w:tc>
          <w:tcPr>
            <w:tcW w:w="174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99.8</w:t>
            </w:r>
          </w:p>
        </w:tc>
      </w:tr>
    </w:tbl>
    <w:p>
      <w:pPr>
        <w:pStyle w:val="Normal"/>
        <w:spacing w:lineRule="auto" w:line="480"/>
        <w:rPr>
          <w:rFonts w:ascii="Times New Roman" w:hAnsi="Times New Roman" w:cs="Times New Roman"/>
          <w:i/>
          <w:i/>
        </w:rPr>
      </w:pPr>
      <w:r>
        <w:rPr>
          <w:rFonts w:cs="Times New Roman" w:ascii="Times New Roman" w:hAnsi="Times New Roman"/>
          <w:i/>
        </w:rPr>
        <w:t>Note: 2,280 10-year-old girls enrolled at school (according to the school-based census) over an estimated total of 2,974 girls of 10 years of age in Manhiça district (according to the National Institute of Statistics).</w:t>
      </w:r>
    </w:p>
    <w:p>
      <w:pPr>
        <w:pStyle w:val="Normal"/>
        <w:spacing w:lineRule="auto" w:line="480"/>
        <w:rPr>
          <w:rFonts w:ascii="Times New Roman" w:hAnsi="Times New Roman" w:cs="Times New Roman"/>
        </w:rPr>
      </w:pPr>
      <w:r>
        <w:rPr>
          <w:rFonts w:cs="Times New Roman" w:ascii="Times New Roman" w:hAnsi="Times New Roman"/>
        </w:rPr>
        <w:t xml:space="preserve">The Ministry of Education (MoE) incurred no direct expenses but some resources were used during the HPV programme, considered in the analysis as economic cost. Three representatives of the MoE participated in microplanning, social mobilisation, training activities (as recipients of the district level training and as trainers at school level) prior to vaccine delivery. During the first week of the programme kick-off, the representatives moved to the district to supervise and support vaccination activities in coordination with the Manhiça District Directorate of Health. Assuming an average </w:t>
      </w:r>
      <w:r>
        <w:rPr>
          <w:rFonts w:cs="Times New Roman" w:ascii="Times New Roman" w:hAnsi="Times New Roman"/>
          <w:i/>
        </w:rPr>
        <w:t>per diem</w:t>
      </w:r>
      <w:r>
        <w:rPr>
          <w:rFonts w:cs="Times New Roman" w:ascii="Times New Roman" w:hAnsi="Times New Roman"/>
        </w:rPr>
        <w:t xml:space="preserve"> of 65 US$, for 3 representatives of the MoE and 7 days of work, a total of 1,365 US$ in resources were allocated to MoE staff by the demonstration program. Additional resources from the MoE included the use of a car during 7 days, implying an average </w:t>
      </w:r>
      <w:r>
        <w:rPr>
          <w:rFonts w:cs="Times New Roman" w:ascii="Times New Roman" w:hAnsi="Times New Roman"/>
          <w:i/>
        </w:rPr>
        <w:t>per diem</w:t>
      </w:r>
      <w:r>
        <w:rPr>
          <w:rFonts w:cs="Times New Roman" w:ascii="Times New Roman" w:hAnsi="Times New Roman"/>
        </w:rPr>
        <w:t xml:space="preserve"> of 55 US$ for the driver and around 226 US$ of fuel (160 litres).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Manhiça District Hospital </w:t>
      </w:r>
    </w:p>
    <w:p>
      <w:pPr>
        <w:pStyle w:val="Normal"/>
        <w:spacing w:lineRule="auto" w:line="480"/>
        <w:rPr>
          <w:rFonts w:ascii="Times New Roman" w:hAnsi="Times New Roman" w:cs="Times New Roman"/>
        </w:rPr>
      </w:pPr>
      <w:r>
        <w:rPr>
          <w:rFonts w:cs="Times New Roman" w:ascii="Times New Roman" w:hAnsi="Times New Roman"/>
        </w:rPr>
        <w:t xml:space="preserve">The key respondents at the Manhiça District Hospital confirmed that, among the 12 health facilities, 11 normally have at least three health professionals: an internist technician, a general nurse and a maternal health technician. One to two health professionals from each facility travelled to every school within the health facility´s catchment area to participate in Information, Education and Communication (IEC) and mobilisation activities and administer vaccines as part of the vaccine delivery activities. The same health professionals were responsible for the waste management at school and later in the health facility. </w:t>
      </w:r>
    </w:p>
    <w:p>
      <w:pPr>
        <w:pStyle w:val="Normal"/>
        <w:spacing w:lineRule="auto" w:line="480"/>
        <w:rPr>
          <w:rFonts w:ascii="Times New Roman" w:hAnsi="Times New Roman" w:cs="Times New Roman"/>
          <w:u w:val="single"/>
        </w:rPr>
      </w:pPr>
      <w:r>
        <w:rPr>
          <w:rFonts w:cs="Times New Roman" w:ascii="Times New Roman" w:hAnsi="Times New Roman"/>
        </w:rPr>
        <w:t xml:space="preserve">An average yearly wage of 4,785 US$ for each vaccinator (preventive medicine technician) was considered in the analysis. The team also included a responsible for school health promotion and one teacher to help organise the activities. The teacher brought the students to the area allocated for vaccination, confirmed their names, eligibility and presence, updated the registration book, as well as filled in and managed the vaccination cards. </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The role of the Manhiça Health Research Centre (CISM)</w:t>
      </w:r>
    </w:p>
    <w:p>
      <w:pPr>
        <w:pStyle w:val="Normal"/>
        <w:spacing w:lineRule="auto" w:line="480"/>
        <w:rPr>
          <w:rFonts w:ascii="Times New Roman" w:hAnsi="Times New Roman" w:cs="Times New Roman"/>
        </w:rPr>
      </w:pPr>
      <w:r>
        <w:rPr>
          <w:rFonts w:cs="Times New Roman" w:ascii="Times New Roman" w:hAnsi="Times New Roman"/>
        </w:rPr>
        <w:t>Most of CISM activities concerned scientific evaluation of vaccine acceptability, coverage, practicality of reporting adverse events, programme costs and post-vaccine introduction evaluation. These included disease surveillance and monitoring (5,000 US$) and post introduction evaluation (9,000 US$). Additionally, CISM incurred in the evaluation of vaccine delivery strategy (7,000 US$), assessment of feasibility of integrating adolescent health programmes with HPV vaccine (10,000 US$), improvement of the national cervical cancer prevention and control strategy (10,000 US$), coverage survey (26,000 US$) and test HPV vaccine delivery with adolescent health interventions (25,000 US$). All monitoring and evaluation activities amounted to a total of 92,000 US$. These activities were not considered as programme costs as they remained outside the usual EPI vaccination activities. However, CISM supported activities of the Manhiça District Hospital with own funding, such as pre-testing IEC materials in Manhiça (transport, a fieldworker and refreshments for participants) and implementation (transport, personnel for vaccine delivery and social mobilisation), which did not receive funding from the programme and were considered economic costs.</w:t>
      </w:r>
    </w:p>
    <w:p>
      <w:pPr>
        <w:pStyle w:val="Normal"/>
        <w:spacing w:lineRule="auto" w:line="480"/>
        <w:rPr>
          <w:rFonts w:ascii="Times New Roman" w:hAnsi="Times New Roman" w:cs="Times New Roman"/>
          <w:color w:val="000000" w:themeColor="text1"/>
          <w:u w:val="single"/>
        </w:rPr>
      </w:pPr>
      <w:r>
        <w:rPr>
          <w:rFonts w:cs="Times New Roman" w:ascii="Times New Roman" w:hAnsi="Times New Roman"/>
          <w:color w:val="000000" w:themeColor="text1"/>
          <w:u w:val="single"/>
        </w:rPr>
        <w:t xml:space="preserve">Role of partner </w:t>
      </w:r>
      <w:r>
        <w:rPr>
          <w:rFonts w:ascii="Times New Roman" w:hAnsi="Times New Roman"/>
          <w:color w:val="000000" w:themeColor="text1"/>
          <w:u w:val="single"/>
        </w:rPr>
        <w:t>Non-Governmental Organisation</w:t>
      </w:r>
      <w:r>
        <w:rPr>
          <w:rFonts w:cs="Times New Roman" w:ascii="Times New Roman" w:hAnsi="Times New Roman"/>
          <w:color w:val="000000" w:themeColor="text1"/>
          <w:u w:val="single"/>
        </w:rPr>
        <w:t xml:space="preserve"> (NGOs)</w:t>
      </w:r>
    </w:p>
    <w:p>
      <w:pPr>
        <w:pStyle w:val="Normal"/>
        <w:spacing w:lineRule="auto" w:line="480"/>
        <w:rPr>
          <w:rFonts w:ascii="Times New Roman" w:hAnsi="Times New Roman" w:cs="Times New Roman"/>
        </w:rPr>
      </w:pPr>
      <w:r>
        <w:rPr>
          <w:rFonts w:cs="Times New Roman" w:ascii="Times New Roman" w:hAnsi="Times New Roman"/>
        </w:rPr>
        <w:t xml:space="preserve">Two NGOs participated in the development of the HPV programme in Manhiça district. Village Reach (VR) focused their support at the provincial level, by providing human resources for the vaccine delivery. They spent 161 US$ on the mobilisation and other educational materials for the three districts where the initial programme was launched. They also supported advocacy work by contributing with 50% of </w:t>
      </w:r>
      <w:r>
        <w:rPr>
          <w:rFonts w:cs="Times New Roman" w:ascii="Times New Roman" w:hAnsi="Times New Roman"/>
          <w:i/>
        </w:rPr>
        <w:t>per diems</w:t>
      </w:r>
      <w:r>
        <w:rPr>
          <w:rFonts w:cs="Times New Roman" w:ascii="Times New Roman" w:hAnsi="Times New Roman"/>
        </w:rPr>
        <w:t xml:space="preserve"> at provincial level for the personnel in charge of advocating activities.</w:t>
      </w:r>
    </w:p>
    <w:p>
      <w:pPr>
        <w:pStyle w:val="Normal"/>
        <w:spacing w:lineRule="auto" w:line="480"/>
        <w:rPr>
          <w:rFonts w:ascii="Times New Roman" w:hAnsi="Times New Roman" w:cs="Times New Roman"/>
        </w:rPr>
      </w:pPr>
      <w:r>
        <w:rPr>
          <w:rFonts w:cs="Times New Roman" w:ascii="Times New Roman" w:hAnsi="Times New Roman"/>
        </w:rPr>
        <w:t>The Foundation for the Development of the Community (FDC) was the collaborator of the MoH for community mobilisation activities including development and testing of IEC materials, training and mobilising the community to adhere to the campaigns. Their expenses were mainly funded by MoH (through the GAVI grant), but due to delays in reimbursements, some resources were used in advance by FDC to fulfil their IEC and mobilisation objectives. Their activities lasted 15 days in total and included more than 1 week developing and testing the IEC materials, 3 days of activists and radio actors training and 2 days of sensitisation at the community. Sixty people were involved in total and their work focused in Manhiça district, mainly Maluana, Xinavane, Manhiça and 3 de Fevereiro administrative posts. Supervision activities were initially considered but later dismissed due to budget cuts. A total of 7,184.57 US$ were spent in social mobilisation activities by FDC. From this amount, 5,371.61 US$ were considered financial costs transferred from MoH, while 1,812.96 US$ were incurred by FDC and not reimbursed by MoH (economic cost). Additional funds were available for communication materials reprint, airing of radio spots and dissemination of messages for the subsequent doses. These were not transferred to FDC and this activity became responsibility of MoH with the support of CISM.</w:t>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rPr>
      </w:pPr>
      <w:r>
        <w:rPr>
          <w:rFonts w:cs="Times New Roman" w:ascii="Times New Roman" w:hAnsi="Times New Roman"/>
          <w:b/>
        </w:rPr>
        <w:t>Table S3</w:t>
      </w:r>
      <w:r>
        <w:rPr>
          <w:rFonts w:cs="Times New Roman" w:ascii="Times New Roman" w:hAnsi="Times New Roman"/>
        </w:rPr>
        <w:t>. Number of schools and girls censed for vaccination</w:t>
      </w:r>
    </w:p>
    <w:tbl>
      <w:tblPr>
        <w:tblW w:w="7386" w:type="dxa"/>
        <w:jc w:val="left"/>
        <w:tblInd w:w="45" w:type="dxa"/>
        <w:tblBorders>
          <w:top w:val="single" w:sz="8" w:space="0" w:color="00000A"/>
          <w:left w:val="single" w:sz="8" w:space="0" w:color="00000A"/>
          <w:bottom w:val="single" w:sz="8" w:space="0" w:color="00000A"/>
          <w:right w:val="single" w:sz="4" w:space="0" w:color="00000A"/>
          <w:insideH w:val="single" w:sz="8" w:space="0" w:color="00000A"/>
          <w:insideV w:val="single" w:sz="4" w:space="0" w:color="00000A"/>
        </w:tblBorders>
        <w:tblCellMar>
          <w:top w:w="0" w:type="dxa"/>
          <w:left w:w="50" w:type="dxa"/>
          <w:bottom w:w="0" w:type="dxa"/>
          <w:right w:w="70" w:type="dxa"/>
        </w:tblCellMar>
        <w:tblLook w:val="04a0" w:noVBand="1" w:noHBand="0" w:lastColumn="0" w:firstColumn="1" w:lastRow="0" w:firstRow="1"/>
      </w:tblPr>
      <w:tblGrid>
        <w:gridCol w:w="2079"/>
        <w:gridCol w:w="2201"/>
        <w:gridCol w:w="1405"/>
        <w:gridCol w:w="1700"/>
      </w:tblGrid>
      <w:tr>
        <w:trPr>
          <w:trHeight w:val="549"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Administrative Post</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School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10-year-old girls (2004)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center"/>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Censed girls for vaccination</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Município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 EPC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 Maragra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 Cambeve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 EP2 - Manhiça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 Maciana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 7 de Abril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 Ribangua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 Chibututuine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 Timaquene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 Ribjene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 Machavanhane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65"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 Machecane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 Chibucutso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 24 de Julho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 Muboco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 Malungana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17. Malangana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 Nhambi</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 Magaba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 Swinhaquene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 Mitilene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 Mulembja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23. Eduardo Mondlane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48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 Marista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 xml:space="preserve">TOTAL Municipio </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1,046</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726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 Maluana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26. Pateque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27. Tavira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 Cuanine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29. Munguine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30. J. M. Cocolino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31. Cantine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 Pembe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33. Macandzene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xml:space="preserve">34. Barrica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 Serra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36. Bunhe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37. Xirindza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13</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Maluana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rPr>
            </w:pPr>
            <w:r>
              <w:rPr>
                <w:rFonts w:eastAsia="Times New Roman" w:cs="Times New Roman" w:ascii="Calibri" w:hAnsi="Calibri"/>
                <w:b/>
                <w:bCs/>
              </w:rPr>
              <w:t>312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rPr>
            </w:pPr>
            <w:r>
              <w:rPr>
                <w:rFonts w:eastAsia="Times New Roman" w:cs="Times New Roman" w:ascii="Calibri" w:hAnsi="Calibri"/>
                <w:b/>
                <w:bCs/>
              </w:rPr>
              <w:t>289</w:t>
            </w:r>
          </w:p>
        </w:tc>
      </w:tr>
      <w:tr>
        <w:trPr>
          <w:trHeight w:val="280" w:hRule="atLeast"/>
        </w:trPr>
        <w:tc>
          <w:tcPr>
            <w:tcW w:w="2079" w:type="dxa"/>
            <w:vMerge w:val="restart"/>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Xinavane</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38. EPC 9 de Fevereiro</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 EPC Xinavane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40. Mepambe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65</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41. Aguiar</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42. Machambutana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30</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43. Machambuiana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26</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44. Mababe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3</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45. Mataquenhane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46. Filipe S. Magaia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47. Vamagogo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48. Santa Rita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xml:space="preserve">TOTAL </w:t>
            </w:r>
            <w:r>
              <w:rPr>
                <w:rFonts w:eastAsia="Times New Roman" w:cs="Times New Roman" w:ascii="Calibri" w:hAnsi="Calibri"/>
                <w:b/>
                <w:bCs/>
                <w:i/>
                <w:iCs/>
                <w:color w:val="000000"/>
              </w:rPr>
              <w:t>Xinavane</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318</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276</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Calanga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 EPC Muguejo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50. Chécua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 Lagoa Pate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52. Chichongue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 Chipuco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54. Calanga-Sede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55. Pondzene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56. Mobana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57. Melembene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58. Morrumbana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59. Halamana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60. Chicavele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61. Manandze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62. Mahila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 Sianine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64. Chicuate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65. Chingunwine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66. Nhacana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67. Matlombe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68. Bassana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 Mahumana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70. Chiau</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Calanga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110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127</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t>Ilha Josina</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71. Ilha Josina Machel</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72. Cutana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73. Mampsana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 Marilampfuvo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75. Dzonguene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35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25</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76. 1o de Maio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rPr>
            </w:pPr>
            <w:r>
              <w:rPr>
                <w:rFonts w:eastAsia="Times New Roman" w:cs="Times New Roman" w:ascii="Calibri" w:hAnsi="Calibri"/>
              </w:rPr>
              <w:t>6</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rPr>
            </w:pPr>
            <w:r>
              <w:rPr>
                <w:rFonts w:eastAsia="Times New Roman" w:cs="Times New Roman" w:ascii="Calibri" w:hAnsi="Calibri"/>
              </w:rPr>
              <w:t>5</w:t>
            </w:r>
          </w:p>
        </w:tc>
      </w:tr>
      <w:tr>
        <w:trPr>
          <w:trHeight w:val="280" w:hRule="atLeast"/>
        </w:trPr>
        <w:tc>
          <w:tcPr>
            <w:tcW w:w="2079" w:type="dxa"/>
            <w:tcBorders>
              <w:top w:val="single" w:sz="4"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Ilha Josina</w:t>
            </w:r>
          </w:p>
        </w:tc>
        <w:tc>
          <w:tcPr>
            <w:tcW w:w="22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160</w:t>
            </w:r>
          </w:p>
        </w:tc>
        <w:tc>
          <w:tcPr>
            <w:tcW w:w="170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128</w:t>
            </w:r>
          </w:p>
        </w:tc>
      </w:tr>
      <w:tr>
        <w:trPr>
          <w:trHeight w:val="280" w:hRule="atLeast"/>
        </w:trPr>
        <w:tc>
          <w:tcPr>
            <w:tcW w:w="2079" w:type="dxa"/>
            <w:vMerge w:val="restart"/>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center"/>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77. Palmeira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98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Times New Roman" w:hAnsi="Times New Roman" w:eastAsia="Times New Roman" w:cs="Times New Roman"/>
                <w:color w:val="000000"/>
              </w:rPr>
            </w:pPr>
            <w:r>
              <w:rPr>
                <w:rFonts w:eastAsia="Times New Roman" w:cs="Times New Roman" w:ascii="Times New Roman" w:hAnsi="Times New Roman"/>
                <w:color w:val="000000"/>
              </w:rPr>
              <w:t>64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78. Manguendene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74</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79. 3 de Fevereiro</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80. Manchiana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81. Chicunguluine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47</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82. Milalene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49</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83. Taninga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84. Chicuachana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69</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43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Lhanimane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85. Mirrone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87. Hunguana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88. Pfungurene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89. Tchelane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28</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20</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90. Melembe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53</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91. Nhavambe</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w:t>
            </w:r>
          </w:p>
        </w:tc>
      </w:tr>
      <w:tr>
        <w:trPr>
          <w:trHeight w:val="280" w:hRule="atLeast"/>
        </w:trPr>
        <w:tc>
          <w:tcPr>
            <w:tcW w:w="2079" w:type="dxa"/>
            <w:vMerge w:val="continue"/>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50" w:type="dxa"/>
            </w:tcMar>
            <w:vAlign w:val="center"/>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92. Condlana</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32</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16</w:t>
            </w:r>
          </w:p>
        </w:tc>
      </w:tr>
      <w:tr>
        <w:trPr>
          <w:trHeight w:val="28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i/>
                <w:i/>
                <w:iCs/>
                <w:color w:val="000000"/>
              </w:rPr>
            </w:pPr>
            <w:r>
              <w:rPr>
                <w:rFonts w:eastAsia="Times New Roman" w:cs="Times New Roman" w:ascii="Calibri" w:hAnsi="Calibri"/>
                <w:b/>
                <w:bCs/>
                <w:i/>
                <w:iCs/>
                <w:color w:val="000000"/>
              </w:rPr>
              <w:t>TOTAL 3 de Fevereiro</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551</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520</w:t>
            </w:r>
          </w:p>
        </w:tc>
      </w:tr>
      <w:tr>
        <w:trPr>
          <w:trHeight w:val="280" w:hRule="atLeast"/>
        </w:trPr>
        <w:tc>
          <w:tcPr>
            <w:tcW w:w="2079"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2201"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405"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70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079" w:type="dxa"/>
            <w:tcBorders>
              <w:top w:val="single" w:sz="8" w:space="0" w:color="00000A"/>
              <w:left w:val="single" w:sz="8" w:space="0" w:color="00000A"/>
              <w:bottom w:val="single" w:sz="8" w:space="0" w:color="00000A"/>
              <w:right w:val="single" w:sz="4" w:space="0" w:color="00000A"/>
              <w:insideH w:val="single" w:sz="8" w:space="0" w:color="00000A"/>
              <w:insideV w:val="single" w:sz="4" w:space="0" w:color="00000A"/>
            </w:tcBorders>
            <w:shd w:color="000000" w:fill="FFFFFF" w:val="clear"/>
            <w:tcMar>
              <w:left w:w="50"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TOTAL</w:t>
            </w:r>
          </w:p>
        </w:tc>
        <w:tc>
          <w:tcPr>
            <w:tcW w:w="2201"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405" w:type="dxa"/>
            <w:tcBorders>
              <w:top w:val="single" w:sz="8" w:space="0" w:color="00000A"/>
              <w:left w:val="single" w:sz="4" w:space="0" w:color="00000A"/>
              <w:bottom w:val="single" w:sz="8" w:space="0" w:color="00000A"/>
              <w:right w:val="single" w:sz="4" w:space="0" w:color="00000A"/>
              <w:insideH w:val="single" w:sz="8" w:space="0" w:color="00000A"/>
              <w:insideV w:val="single" w:sz="4" w:space="0" w:color="00000A"/>
            </w:tcBorders>
            <w:shd w:color="000000" w:fill="FFFFFF" w:val="clear"/>
            <w:tcMar>
              <w:left w:w="65"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2,497</w:t>
            </w:r>
          </w:p>
        </w:tc>
        <w:tc>
          <w:tcPr>
            <w:tcW w:w="170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000000"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2,066</w:t>
            </w:r>
          </w:p>
        </w:tc>
      </w:tr>
    </w:tbl>
    <w:p>
      <w:pPr>
        <w:pStyle w:val="Normal"/>
        <w:rPr>
          <w:rFonts w:ascii="Times New Roman" w:hAnsi="Times New Roman" w:cs="Times New Roman"/>
          <w:i/>
          <w:i/>
          <w:u w:val="single"/>
        </w:rPr>
      </w:pPr>
      <w:r>
        <w:rPr>
          <w:rFonts w:cs="Times New Roman" w:ascii="Times New Roman" w:hAnsi="Times New Roman"/>
          <w:i/>
          <w:u w:val="single"/>
        </w:rPr>
        <w:t>Note:</w:t>
      </w:r>
      <w:r>
        <w:rPr>
          <w:rFonts w:cs="Times New Roman" w:ascii="Times New Roman" w:hAnsi="Times New Roman"/>
          <w:i/>
        </w:rPr>
        <w:t xml:space="preserve"> There was a discrepancy between the 10-year-old girls censed by the Ministry of Education (2,497 in 2004) and the estimated by the National Institute of Statistics (2,974 in 2014). The number of primary schools was the same (92).</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Table S4</w:t>
      </w:r>
      <w:r>
        <w:rPr>
          <w:rFonts w:cs="Times New Roman" w:ascii="Times New Roman" w:hAnsi="Times New Roman"/>
        </w:rPr>
        <w:t>: Financial and economic costs of the alternative scenario (US$).</w:t>
      </w:r>
    </w:p>
    <w:tbl>
      <w:tblPr>
        <w:tblStyle w:val="Tablaconcuadrcula"/>
        <w:tblW w:w="9132" w:type="dxa"/>
        <w:jc w:val="left"/>
        <w:tblInd w:w="-176" w:type="dxa"/>
        <w:tblCellMar>
          <w:top w:w="0" w:type="dxa"/>
          <w:left w:w="113" w:type="dxa"/>
          <w:bottom w:w="0" w:type="dxa"/>
          <w:right w:w="108" w:type="dxa"/>
        </w:tblCellMar>
        <w:tblLook w:val="04a0" w:noVBand="1" w:noHBand="0" w:lastColumn="0" w:firstColumn="1" w:lastRow="0" w:firstRow="1"/>
      </w:tblPr>
      <w:tblGrid>
        <w:gridCol w:w="3632"/>
        <w:gridCol w:w="1316"/>
        <w:gridCol w:w="1465"/>
        <w:gridCol w:w="186"/>
        <w:gridCol w:w="1370"/>
        <w:gridCol w:w="1163"/>
      </w:tblGrid>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2781" w:type="dxa"/>
            <w:gridSpan w:val="2"/>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FINANCIAL COSTS</w:t>
            </w:r>
          </w:p>
        </w:tc>
        <w:tc>
          <w:tcPr>
            <w:tcW w:w="2719" w:type="dxa"/>
            <w:gridSpan w:val="3"/>
            <w:tcBorders>
              <w:top w:val="nil"/>
              <w:left w:val="nil"/>
              <w:bottom w:val="nil"/>
              <w:right w:val="nil"/>
              <w:insideH w:val="nil"/>
              <w:insideV w:val="nil"/>
            </w:tcBorders>
            <w:shd w:fill="auto" w:val="clear"/>
          </w:tcPr>
          <w:p>
            <w:pPr>
              <w:pStyle w:val="Normal"/>
              <w:spacing w:lineRule="auto" w:line="480"/>
              <w:jc w:val="center"/>
              <w:rPr>
                <w:rFonts w:ascii="Times New Roman" w:hAnsi="Times New Roman" w:cs="Times New Roman"/>
              </w:rPr>
            </w:pPr>
            <w:r>
              <w:rPr>
                <w:rFonts w:cs="Times New Roman" w:ascii="Times New Roman" w:hAnsi="Times New Roman"/>
              </w:rPr>
              <w:t>ECONOMIC COSTS</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Introduction costs</w:t>
            </w:r>
            <w:r>
              <w:rPr>
                <w:rFonts w:cs="Times New Roman" w:ascii="Times New Roman" w:hAnsi="Times New Roman"/>
                <w:i/>
                <w:iCs/>
                <w:vertAlign w:val="superscript"/>
              </w:rPr>
              <w:t>1</w:t>
            </w:r>
            <w:r>
              <w:rPr>
                <w:rFonts w:cs="Times New Roman" w:ascii="Times New Roman" w:hAnsi="Times New Roman"/>
                <w:b/>
              </w:rPr>
              <w:tab/>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Microplanning and training</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2,484</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8.80%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6,232</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7.10%</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Social mobilisation – IEC</w:t>
            </w:r>
            <w:r>
              <w:rPr>
                <w:rFonts w:cs="Times New Roman" w:ascii="Times New Roman" w:hAnsi="Times New Roman"/>
                <w:i/>
                <w:iCs/>
                <w:vertAlign w:val="superscript"/>
              </w:rPr>
              <w:t>2</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3,101</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10.99%</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3,653</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4.16%</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introduction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5,585</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19.79%</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9,885</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11.27%</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Vaccine procurement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10,388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36.81%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52,241</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59.56%</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Service delivery</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2,935</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10.40%</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13,283</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15.14%</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Supervision, monitoring &amp; evaluation</w:t>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26.22%</w:t>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7,401</w:t>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8.44%</w:t>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Other recurrent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6.78%</w:t>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1,914</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t>2.18%</w:t>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recurrent costs</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22,638</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80.21%</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74,839</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85.32%</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Cold-chain supplement</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single" w:sz="4" w:space="0" w:color="000001"/>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t>Subtotal cold-chain supplement</w:t>
            </w:r>
          </w:p>
        </w:tc>
        <w:tc>
          <w:tcPr>
            <w:tcW w:w="1316"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w:t>
            </w:r>
          </w:p>
        </w:tc>
        <w:tc>
          <w:tcPr>
            <w:tcW w:w="1651" w:type="dxa"/>
            <w:gridSpan w:val="2"/>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0.00%</w:t>
            </w:r>
          </w:p>
        </w:tc>
        <w:tc>
          <w:tcPr>
            <w:tcW w:w="1370"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2,994</w:t>
            </w:r>
          </w:p>
        </w:tc>
        <w:tc>
          <w:tcPr>
            <w:tcW w:w="1163" w:type="dxa"/>
            <w:tcBorders>
              <w:top w:val="single" w:sz="4" w:space="0" w:color="000001"/>
              <w:left w:val="nil"/>
              <w:bottom w:val="nil"/>
              <w:right w:val="nil"/>
              <w:insideH w:val="nil"/>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3.41%</w:t>
            </w:r>
          </w:p>
        </w:tc>
      </w:tr>
      <w:tr>
        <w:trPr/>
        <w:tc>
          <w:tcPr>
            <w:tcW w:w="3632" w:type="dxa"/>
            <w:tcBorders>
              <w:top w:val="nil"/>
              <w:left w:val="nil"/>
              <w:bottom w:val="nil"/>
              <w:right w:val="nil"/>
              <w:insideH w:val="nil"/>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rPr>
            </w:r>
          </w:p>
        </w:tc>
        <w:tc>
          <w:tcPr>
            <w:tcW w:w="1316"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651" w:type="dxa"/>
            <w:gridSpan w:val="2"/>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163" w:type="dxa"/>
            <w:tcBorders>
              <w:top w:val="nil"/>
              <w:left w:val="nil"/>
              <w:bottom w:val="nil"/>
              <w:right w:val="nil"/>
              <w:insideH w:val="nil"/>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r>
        <w:trPr/>
        <w:tc>
          <w:tcPr>
            <w:tcW w:w="3632" w:type="dxa"/>
            <w:tcBorders>
              <w:top w:val="nil"/>
              <w:left w:val="nil"/>
              <w:bottom w:val="single" w:sz="4" w:space="0" w:color="000001"/>
              <w:right w:val="nil"/>
              <w:insideH w:val="single" w:sz="4" w:space="0" w:color="000001"/>
              <w:insideV w:val="nil"/>
            </w:tcBorders>
            <w:shd w:fill="auto" w:val="clear"/>
          </w:tcPr>
          <w:p>
            <w:pPr>
              <w:pStyle w:val="Normal"/>
              <w:spacing w:lineRule="auto" w:line="480"/>
              <w:rPr>
                <w:rFonts w:ascii="Times New Roman" w:hAnsi="Times New Roman" w:cs="Times New Roman"/>
              </w:rPr>
            </w:pPr>
            <w:r>
              <w:rPr>
                <w:rFonts w:cs="Times New Roman" w:ascii="Times New Roman" w:hAnsi="Times New Roman"/>
                <w:b/>
              </w:rPr>
              <w:t>Total costs</w:t>
            </w:r>
          </w:p>
        </w:tc>
        <w:tc>
          <w:tcPr>
            <w:tcW w:w="1316"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b/>
              </w:rPr>
              <w:t>28,223</w:t>
            </w:r>
          </w:p>
        </w:tc>
        <w:tc>
          <w:tcPr>
            <w:tcW w:w="1651" w:type="dxa"/>
            <w:gridSpan w:val="2"/>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c>
          <w:tcPr>
            <w:tcW w:w="1370"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b/>
                <w:b/>
              </w:rPr>
            </w:pPr>
            <w:r>
              <w:rPr>
                <w:rFonts w:cs="Times New Roman" w:ascii="Times New Roman" w:hAnsi="Times New Roman"/>
                <w:b/>
              </w:rPr>
              <w:t>87,718</w:t>
            </w:r>
          </w:p>
        </w:tc>
        <w:tc>
          <w:tcPr>
            <w:tcW w:w="1163" w:type="dxa"/>
            <w:tcBorders>
              <w:top w:val="nil"/>
              <w:left w:val="nil"/>
              <w:bottom w:val="single" w:sz="4" w:space="0" w:color="000001"/>
              <w:right w:val="nil"/>
              <w:insideH w:val="single" w:sz="4" w:space="0" w:color="000001"/>
              <w:insideV w:val="nil"/>
            </w:tcBorders>
            <w:shd w:fill="auto" w:val="clear"/>
          </w:tcPr>
          <w:p>
            <w:pPr>
              <w:pStyle w:val="Normal"/>
              <w:spacing w:lineRule="auto" w:line="480"/>
              <w:jc w:val="right"/>
              <w:rPr>
                <w:rFonts w:ascii="Times New Roman" w:hAnsi="Times New Roman" w:cs="Times New Roman"/>
              </w:rPr>
            </w:pPr>
            <w:r>
              <w:rPr>
                <w:rFonts w:cs="Times New Roman" w:ascii="Times New Roman" w:hAnsi="Times New Roman"/>
              </w:rPr>
            </w:r>
          </w:p>
        </w:tc>
      </w:tr>
    </w:tbl>
    <w:p>
      <w:pPr>
        <w:pStyle w:val="Normal"/>
        <w:rPr>
          <w:rFonts w:ascii="Times New Roman" w:hAnsi="Times New Roman" w:cs="Times New Roman"/>
          <w:i/>
          <w:i/>
        </w:rPr>
      </w:pPr>
      <w:r>
        <w:rPr>
          <w:rFonts w:cs="Times New Roman" w:ascii="Times New Roman" w:hAnsi="Times New Roman"/>
          <w:i/>
          <w:iCs/>
          <w:vertAlign w:val="superscript"/>
        </w:rPr>
        <w:t>1</w:t>
      </w:r>
      <w:r>
        <w:rPr>
          <w:rFonts w:cs="Times New Roman" w:ascii="Times New Roman" w:hAnsi="Times New Roman"/>
          <w:i/>
        </w:rPr>
        <w:t>Introduction costs were annualised in 5 years and only the first year amount was attributable for the 2014 vaccination cycle.</w:t>
      </w:r>
    </w:p>
    <w:p>
      <w:pPr>
        <w:pStyle w:val="Normal"/>
        <w:rPr>
          <w:rFonts w:ascii="Times New Roman" w:hAnsi="Times New Roman" w:cs="Times New Roman"/>
          <w:i/>
          <w:i/>
          <w:u w:val="single"/>
        </w:rPr>
      </w:pPr>
      <w:r>
        <w:rPr>
          <w:rFonts w:cs="Times New Roman" w:ascii="Times New Roman" w:hAnsi="Times New Roman"/>
          <w:i/>
          <w:iCs/>
          <w:vertAlign w:val="superscript"/>
        </w:rPr>
        <w:t>2</w:t>
      </w:r>
      <w:r>
        <w:rPr>
          <w:rFonts w:cs="Times New Roman" w:ascii="Times New Roman" w:hAnsi="Times New Roman"/>
          <w:i/>
        </w:rPr>
        <w:t xml:space="preserve">IEC: </w:t>
      </w:r>
      <w:r>
        <w:rPr>
          <w:rFonts w:ascii="Times New Roman" w:hAnsi="Times New Roman"/>
          <w:i/>
          <w:color w:val="000000" w:themeColor="text1"/>
        </w:rPr>
        <w:t>Information, Education and Communication.</w:t>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u w:val="single"/>
        </w:rPr>
      </w:pPr>
      <w:r>
        <w:rPr>
          <w:rFonts w:cs="Times New Roman" w:ascii="Times New Roman" w:hAnsi="Times New Roman"/>
          <w:u w:val="single"/>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28" w:name="_Toc382138196"/>
      <w:bookmarkEnd w:id="428"/>
      <w:r>
        <w:rPr>
          <w:rFonts w:ascii="Calibri" w:hAnsi="Calibri" w:asciiTheme="majorHAnsi" w:hAnsiTheme="majorHAnsi"/>
        </w:rPr>
        <w:t>V. Summary of results and discussion</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The studies presented in this thesis contribute to understanding how to improve access to effective interventions related to VL, malaria and HPV in selected African countries. Although generalisations must be addressed carefully, findings reported for VL in Morocco may apply to other Northern African countries with similar epidemiological and economic contexts. Malaria and HPV related results obtained in this thesis may also apply to other districts of Mozambique and to other Sub-Saharan African countries facing similar challenges. Finally, conclusions reported by these studies are key for public health policy makers to improve the control of these diseases, all closely related to poverty, and to improve access to prevention and treatment among the poorest individuals.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1. Paediatric VL care in Morocco: provider costs and technology scale-up</w:t>
      </w:r>
    </w:p>
    <w:p>
      <w:pPr>
        <w:pStyle w:val="Normal"/>
        <w:spacing w:lineRule="auto" w:line="360"/>
        <w:rPr/>
      </w:pPr>
      <w:r>
        <w:rPr>
          <w:rFonts w:ascii="Calibri" w:hAnsi="Calibri" w:asciiTheme="majorHAnsi" w:hAnsiTheme="majorHAnsi"/>
          <w:lang w:val="en-GB"/>
        </w:rPr>
        <w:t xml:space="preserve">The first article evaluated the economic burden of paediatric VL in Morocco from the provider perspective. For the year 2014, the median healthcare provider cost of a paediatric VL patient was 520 US$ (IQR 316-658 US$). Hospital costs represented half of the total cost (52%), VL treatment and diagnosis 8% and 7% of the total cost, and the remaining costs were associated with additional tests and treatments not directly attributable to VL. It was the first estimate of the health system costs for VL care in Morocco. Estimated cost remains much lower than the ones estimated with the same drug reported in Europe due to the high hospitalisation cost in HICs </w:t>
      </w:r>
      <w:r>
        <w:fldChar w:fldCharType="begin"/>
      </w:r>
      <w:r>
        <w:instrText>ADDIN CSL_CITATION { "citationItems" : [ { "id" : "ITEM-1", "itemData" : { "DOI" : "10.1016/j.ijantimicag.2004.09.011", "ISSN" : "09248579", "PMID" : "15620822", "abstract" : "Pentavalent antimony compounds and amphotericin B lipid formulations have been found highly active for the treatment of visceral leishmaniasis. This study focuses on which treatment is preferable in the best interests of the child. Records were reviewed of children in our hospital aged 0-14 years, diagnosed with visceral leishmaniasis, during the last 4 years. Twenty-nine children were identified. Ten were treated with meglumine antimonate (20 mg/kg/day for 21 days) and remained in hospital for 11-28 days (median 19 days), while 19 patients received liposomal amphotericin B at four different dosage schemes and were in hospital for 6-11 days (median 7 days). All of the patients were cured regardless of the treatment regime they followed. No relapses were noted. Liposomal amphotericin B would be preferable to meglumine antimonate if the reduction in hospital stay and hence the convenience of the patient balance the cost of medication. The optimal duration of treatment with liposomal amphotericin B remains to be determined. ?? 2004 Elsevier B.V. and the International Society of Chemotherapy. All rights reserved.", "author" : [ { "dropping-particle" : "", "family" : "Kafetzis", "given" : "D. a.", "non-dropping-particle" : "", "parse-names" : false, "suffix" : "" }, { "dropping-particle" : "", "family" : "Velissariou", "given" : "I. M.", "non-dropping-particle" : "", "parse-names" : false, "suffix" : "" }, { "dropping-particle" : "", "family" : "Stabouli", "given" : "S.", "non-dropping-particle" : "", "parse-names" : false, "suffix" : "" }, { "dropping-particle" : "", "family" : "Mavrikou", "given" : "M.", "non-dropping-particle" : "", "parse-names" : false, "suffix" : "" }, { "dropping-particle" : "", "family" : "Delis", "given" : "D.", "non-dropping-particle" : "", "parse-names" : false, "suffix" : "" }, { "dropping-particle" : "", "family" : "Liapi", "given" : "G.", "non-dropping-particle" : "", "parse-names" : false, "suffix" : "" } ], "container-title" : "International Journal of Antimicrobial Agents", "id" : "ITEM-1", "issue" : "1", "issued" : { "date-parts" : [ [ "2005" ] ] }, "page" : "26-30", "title" : "Treatment of paediatric visceral leishmaniasis: Amphotericin B or pentavalent antimony compounds?", "type" : "article-journal", "volume" : "25" }, "uris" : [ "http://www.mendeley.com/documents/?uuid=50794321-5616-443d-a00a-08707a4ed73b" ] }, { "id" : "ITEM-2",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"ITEM-2",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"(Kafetzis et al., 2005; Cascio et al., 2002)", "plainTextFormattedCitation" : "(Kafetzis et al., 2005; Cascio et al., 2002)", "previouslyFormattedCitation" : "(Kafetzis et al., 2005; Cascio et al., 2002)" }, "properties" : {  }, "schema" : "https://github.com/citation-style-language/schema/raw/master/csl-citation.json" }</w:instrText>
      </w:r>
      <w:r>
        <w:fldChar w:fldCharType="separate"/>
      </w:r>
      <w:bookmarkStart w:id="429" w:name="__Fieldmark__11283_513475976"/>
      <w:r>
        <w:rPr>
          <w:rFonts w:ascii="Calibri" w:hAnsi="Calibri" w:asciiTheme="majorHAnsi" w:hAnsiTheme="majorHAnsi"/>
          <w:lang w:val="en-GB"/>
        </w:rPr>
        <w:t>(</w:t>
      </w:r>
      <w:bookmarkStart w:id="430" w:name="__Fieldmark__15423_903549581"/>
      <w:r>
        <w:rPr>
          <w:rFonts w:ascii="Calibri" w:hAnsi="Calibri" w:asciiTheme="majorHAnsi" w:hAnsiTheme="majorHAnsi"/>
          <w:lang w:val="en-GB"/>
        </w:rPr>
        <w:t>Kafetzis et al., 2005; Cascio et al., 2002)</w:t>
      </w:r>
      <w:r>
        <w:rPr>
          <w:rFonts w:ascii="Calibri" w:hAnsi="Calibri" w:asciiTheme="majorHAnsi" w:hAnsiTheme="majorHAnsi"/>
          <w:lang w:val="en-GB"/>
        </w:rPr>
      </w:r>
      <w:r>
        <w:fldChar w:fldCharType="end"/>
      </w:r>
      <w:bookmarkEnd w:id="429"/>
      <w:bookmarkEnd w:id="430"/>
      <w:r>
        <w:rPr>
          <w:rFonts w:ascii="Calibri" w:hAnsi="Calibri" w:asciiTheme="majorHAnsi" w:hAnsiTheme="majorHAnsi"/>
          <w:lang w:val="en-GB"/>
        </w:rPr>
        <w:t xml:space="preserve">. The cost included VL diagnosis, BM aspirates or serology, VL treatment with SB, hospitalisation costs and other tests and treatments associated with the admission but not directly with VL. Despite the fact that the Ministry of Health covers diagnostic and treatment costs related to VL, the societal costs of paediatric VL care are likely to be substantially higher: households’ costs were not included in our estimates and these have been reported to be relevant </w:t>
      </w:r>
      <w:r>
        <w:fldChar w:fldCharType="begin"/>
      </w:r>
      <w:r>
        <w:instrText>ADDIN CSL_CITATION { "citationItems" : [ { "id" : "ITEM-1", "itemData" : { "DOI" : "10.1111/j.1365-3156.2006.01732.x", "ISBN" : "1360-2276 (Print)", "ISSN" : "13602276", "PMID" : "17054752", "abstract" : "OBJECTIVES: To identify and quantify the direct and indirect economic cost of treatment for visceral leishmaniasis (VL) with conventional Amphotericin B deoxycholate, currently the first-line treatment in Muzaffarpur. METHODS: Costs of patient management for VL were estimated from a societal and household perspective by means of a questionnaire designed for this study, interviews and financial reports. RESULTS: The total cost of care per episode of VL from the societal perspective was estimated at US$355, equivalent to 58% of annual household income. The largest cost category was medical costs (55%), followed by indirect costs (36%) and non-medical costs (9%). The cost from the household perspective was equivalent to US$217. The largest cost category was indirect costs (59%), followed by medical costs (27%) and non-medical costs (15%). Loss of income because of illness and hospitalization and expenses for drugs were the largest cost components. CONCLUSIONS: The economic costs related to VL are substantial, both to society and the patient. Public health authorities in Bihar should focus on policies that detect VL in the early stage and implement interventions that minimize the burden to households affected by VL.", "author" : [ { "dropping-particle" : "", "family" : "Meheus", "given" : "Filip", "non-dropping-particle" : "", "parse-names" : false, "suffix" : "" }, { "dropping-particle" : "", "family" : "Boelaert", "given" : "Marleen", "non-dropping-particle" : "", "parse-names" : false, "suffix" : "" }, { "dropping-particle" : "", "family" : "Baltussen", "given" : "Rob", "non-dropping-particle" : "", "parse-names" : false, "suffix" : "" }, { "dropping-particle" : "", "family" : "Sundar", "given" : "Shyam", "non-dropping-particle" : "", "parse-names" : false, "suffix" : "" } ], "container-title" : "Tropical Medicine and International Health", "id" : "ITEM-1", "issue" : "11", "issued" : { "date-parts" : [ [ "2006" ] ] }, "page" : "1715-1724", "title" : "Costs of patient management of visceral leishmaniasis in Muzaffarpur, Bihar, India", "type" : "article-journal", "volume" : "11" }, "uris" : [ "http://www.mendeley.com/documents/?uuid=a86ed722-aef8-4400-95c7-0955b488c117" ] } ], "mendeley" : { "formattedCitation" : "(Meheus et al., 2006)", "plainTextFormattedCitation" : "(Meheus et al., 2006)", "previouslyFormattedCitation" : "(Meheus et al., 2006)" }, "properties" : {  }, "schema" : "https://github.com/citation-style-language/schema/raw/master/csl-citation.json" }</w:instrText>
      </w:r>
      <w:r>
        <w:fldChar w:fldCharType="separate"/>
      </w:r>
      <w:bookmarkStart w:id="431" w:name="__Fieldmark__11290_513475976"/>
      <w:r>
        <w:rPr>
          <w:rFonts w:ascii="Calibri" w:hAnsi="Calibri" w:asciiTheme="majorHAnsi" w:hAnsiTheme="majorHAnsi"/>
          <w:lang w:val="en-GB"/>
        </w:rPr>
        <w:t>(</w:t>
      </w:r>
      <w:bookmarkStart w:id="432" w:name="__Fieldmark__15441_903549581"/>
      <w:r>
        <w:rPr>
          <w:rFonts w:ascii="Calibri" w:hAnsi="Calibri" w:asciiTheme="majorHAnsi" w:hAnsiTheme="majorHAnsi"/>
          <w:lang w:val="en-GB"/>
        </w:rPr>
        <w:t>Meheus et al., 2006)</w:t>
      </w:r>
      <w:r>
        <w:rPr>
          <w:rFonts w:ascii="Calibri" w:hAnsi="Calibri" w:asciiTheme="majorHAnsi" w:hAnsiTheme="majorHAnsi"/>
          <w:lang w:val="en-GB"/>
        </w:rPr>
      </w:r>
      <w:r>
        <w:fldChar w:fldCharType="end"/>
      </w:r>
      <w:bookmarkEnd w:id="431"/>
      <w:bookmarkEnd w:id="432"/>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Despite most patients received VL treatment during the hospitalisation (55% of the sample), as recommended by the national guidelines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33" w:name="__Fieldmark__11299_513475976"/>
      <w:r>
        <w:rPr>
          <w:rFonts w:ascii="Calibri" w:hAnsi="Calibri" w:asciiTheme="majorHAnsi" w:hAnsiTheme="majorHAnsi"/>
          <w:lang w:val="en-GB"/>
        </w:rPr>
        <w:t>(</w:t>
      </w:r>
      <w:bookmarkStart w:id="434" w:name="__Fieldmark__15456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33"/>
      <w:bookmarkEnd w:id="434"/>
      <w:r>
        <w:rPr>
          <w:rFonts w:ascii="Calibri" w:hAnsi="Calibri" w:asciiTheme="majorHAnsi" w:hAnsiTheme="majorHAnsi"/>
          <w:lang w:val="en-GB"/>
        </w:rPr>
        <w:t xml:space="preserve">, some patients were discharged before completing treatment, and were forced to finish therapy as outpatients at primary health centres. From the health provider perspective, patients completing therapy as inpatients had higher associated costs (636 US$) than those finishing the treatment as outpatients (307 US$). This is a clear example of the health system transferring costs and risks to the households by reducing hospital length of stay when this is not clinically recommended. In fact, administration of antimonials would require close monitoring, which can be insured only during admission </w:t>
      </w:r>
      <w:r>
        <w:fldChar w:fldCharType="begin"/>
      </w:r>
      <w:r>
        <w:instrText>ADDIN CSL_CITATION { "citationItems" : [ { "id" : "ITEM-1", "itemData" : { "DOI" : "10.1007/s10096-002-0707-3", "ISSN" : "0934-9723", "PMID" : "12072938", "abstract" : "The clinical and epidemiological characteristics of 111 consecutive cases of visceral leishmaniasis identified from 1980 to 2000 in a Sicilian pediatric hospital were analyzed retrospectively. The mean age of the patients was 1.7 years. All children were HIV negative, but 15% were severely malnourished. Fever and splenomegaly were present in all cases and hepatomegaly in 101 (90.1%) cases. Thrombocytopenia and anemia were both observed in 78 (70.2%) cases and leukopenia in 47 (42.3%) cases. A bone marrow aspirate was obtained in all cases; Leishmania amastigotes were detected in 89 (80.2%) cases. Initial treatment consisted of meglumine antimoniate in 99 (89.2%) patients and amphotericin B in 12 (10.8%) patients. Only two children treated with meglumine antimoniate relapsed. The findings highlight the differences between the cases of visceral leishmaniasis observed in the Mediterranean basin and those observed in other regions. The use of the term \"Mediterranean visceral leishmaniasis\", rather than the term \"kala-azar\", is proposed for cases observed in the Mediterranean area.", "author" : [ { "dropping-particle" : "", "family" : "Cascio", "given" : "A", "non-dropping-particle" : "", "parse-names" : false, "suffix" : "" }, { "dropping-particle" : "", "family" : "Colomba", "given" : "C", "non-dropping-particle" : "", "parse-names" : false, "suffix" : "" }, { "dropping-particle" : "", "family" : "Antinori", "given" : "S", "non-dropping-particle" : "", "parse-names" : false, "suffix" : "" }, { "dropping-particle" : "", "family" : "Orobello", "given" : "M", "non-dropping-particle" : "", "parse-names" : false, "suffix" : "" }, { "dropping-particle" : "", "family" : "Paterson", "given" : "D", "non-dropping-particle" : "", "parse-names" : false, "suffix" : "" }, { "dropping-particle" : "", "family" : "Titone", "given" : "L", "non-dropping-particle" : "", "parse-names" : false, "suffix" : "" } ], "container-title" : "European journal of clinical microbiology &amp; infectious diseases", "id" : "ITEM-1", "issue" : "4", "issued" : { "date-parts" : [ [ "2002", "4", "19" ] ] }, "page" : "277-82", "title" : "Pediatric visceral leishmaniasis in Western Sicily, Italy: a retrospective analysis of 111 cases.", "type" : "article-journal", "volume" : "21" }, "uris" : [ "http://www.mendeley.com/documents/?uuid=c7b09e47-bd54-3ff3-b0c2-b78e8e6dc7ac" ] } ], "mendeley" : { "formattedCitation" : "(Cascio et al., 2002)", "plainTextFormattedCitation" : "(Cascio et al., 2002)", "previouslyFormattedCitation" : "(Cascio et al., 2002)" }, "properties" : {  }, "schema" : "https://github.com/citation-style-language/schema/raw/master/csl-citation.json" }</w:instrText>
      </w:r>
      <w:r>
        <w:fldChar w:fldCharType="separate"/>
      </w:r>
      <w:bookmarkStart w:id="435" w:name="__Fieldmark__11306_513475976"/>
      <w:r>
        <w:rPr>
          <w:rFonts w:ascii="Calibri" w:hAnsi="Calibri" w:asciiTheme="majorHAnsi" w:hAnsiTheme="majorHAnsi"/>
          <w:lang w:val="en-GB"/>
        </w:rPr>
        <w:t>(</w:t>
      </w:r>
      <w:bookmarkStart w:id="436" w:name="__Fieldmark__15480_903549581"/>
      <w:r>
        <w:rPr>
          <w:rFonts w:ascii="Calibri" w:hAnsi="Calibri" w:asciiTheme="majorHAnsi" w:hAnsiTheme="majorHAnsi"/>
          <w:lang w:val="en-GB"/>
        </w:rPr>
        <w:t>Cascio et al., 2002)</w:t>
      </w:r>
      <w:r>
        <w:rPr>
          <w:rFonts w:ascii="Calibri" w:hAnsi="Calibri" w:asciiTheme="majorHAnsi" w:hAnsiTheme="majorHAnsi"/>
          <w:lang w:val="en-GB"/>
        </w:rPr>
      </w:r>
      <w:r>
        <w:fldChar w:fldCharType="end"/>
      </w:r>
      <w:bookmarkEnd w:id="435"/>
      <w:bookmarkEnd w:id="436"/>
      <w:r>
        <w:rPr>
          <w:rFonts w:ascii="Calibri" w:hAnsi="Calibri" w:asciiTheme="majorHAnsi" w:hAnsiTheme="majorHAnsi"/>
          <w:lang w:val="en-GB"/>
        </w:rPr>
        <w:t xml:space="preserve">. </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second study evaluated the introduction of RDTs to diagnose and/or L-AmB to treat VL patients in Morocco by employing cost and disease management data obtained from the first study. Adoption of RDT at the hospital level was found to dominate BM aspirates as a tool to diagnose VL, regardless of treatment regimen. In addition to its possible adoption as a triage tool in public hospitals, as suggested by the WHO </w:t>
      </w:r>
      <w:r>
        <w:fldChar w:fldCharType="begin"/>
      </w:r>
      <w:r>
        <w:instrText>ADDIN CSL_CITATION { "citationItems" : [ { "id" : "ITEM-1", "itemData" : { "ISBN" : "9789241209", "ISSN" : "05123054", "PMID" : "6971184", "abstract" : "Human leishmaniases are caused by at least 13 different species and subspecies of parasite of the genus Leishmania. These parasites are transmitted to man from other infected persons or mammals by sandflies when taking a blood meal. Leishmaniases have been reported from about 80 countries and probably some 400 000 new cases occur each year. Clinically the leishmaniases can be divided into three major groups: visceral leishmaniases, which are usually fatal if untreated; cutaneous leishmaniases, which often produce permanent facial disfigurement; and mucocutaneous leishmaniasis of the New World, which produces severe mutilation by destruction of the naso-oro-pharyngeal cavity and sometimes death. Since the various forms of leishmaniasis differ substantially from each other in their epidemiology, the strategy for control must be adapted to the local situation in each endemic area, after thorough ecological and epidemiological studies of the vectors, the hosts, and the landscape. If insufficient baseline information is available, failure of haphazardly applied control measures can be expected. Peridomestic insecticide spraying together with treatment of patients is effective in certain foci of anthroponotic cutaneous leishmaniasis, urban visceral leishmaniasis, and uta. Extensive programmes to eradicate desert rodents, combined with land reclamation, resulted in a considerable decrease in the incidence of zoonotic cutaneous leishmaniasis in vast areas of the USSR. Since control of zoonotic cutaneous/mucocutaneous leishmaniasis of the New World is hardly feasible at present, the only rational approach to prevent some of mucosal lesions is early diagnosis and radical treatment of patients with the rather unsatisfactory drugs at present available.", "author" : [ { "dropping-particle" : "", "family" : "World Health Organization", "given" : "", "non-dropping-particle" : "", "parse-names" : false, "suffix" : "" } ], "container-title" : "World Health Organization technical report series", "id" : "ITEM-1", "issue" : "949", "issued" : { "date-parts" : [ [ "2010" ] ] }, "title" : "Control of the leishmaniases. Report of a Meeting of the WHO Expert Committee on the Control of Leishmaniases, Geneva, Switzerland, 22-26 March 2010", "type" : "article-journal" }, "uris" : [ "http://www.mendeley.com/documents/?uuid=1e96d348-1cd1-4f71-8c25-6aad19bc1f56" ] } ], "mendeley" : { "formattedCitation" : "(World Health Organization, 2010a)", "plainTextFormattedCitation" : "(World Health Organization, 2010a)", "previouslyFormattedCitation" : "(World Health Organization, 2010a)" }, "properties" : {  }, "schema" : "https://github.com/citation-style-language/schema/raw/master/csl-citation.json" }</w:instrText>
      </w:r>
      <w:r>
        <w:fldChar w:fldCharType="separate"/>
      </w:r>
      <w:bookmarkStart w:id="437" w:name="__Fieldmark__11315_513475976"/>
      <w:r>
        <w:rPr>
          <w:rFonts w:ascii="Calibri" w:hAnsi="Calibri" w:asciiTheme="majorHAnsi" w:hAnsiTheme="majorHAnsi"/>
          <w:lang w:val="en-GB"/>
        </w:rPr>
        <w:t>(</w:t>
      </w:r>
      <w:bookmarkStart w:id="438" w:name="__Fieldmark__15501_903549581"/>
      <w:r>
        <w:rPr>
          <w:rFonts w:ascii="Calibri" w:hAnsi="Calibri" w:asciiTheme="majorHAnsi" w:hAnsiTheme="majorHAnsi"/>
          <w:lang w:val="en-GB"/>
        </w:rPr>
        <w:t>World Health Organization, 2010a)</w:t>
      </w:r>
      <w:r>
        <w:rPr>
          <w:rFonts w:ascii="Calibri" w:hAnsi="Calibri" w:asciiTheme="majorHAnsi" w:hAnsiTheme="majorHAnsi"/>
          <w:lang w:val="en-GB"/>
        </w:rPr>
      </w:r>
      <w:r>
        <w:fldChar w:fldCharType="end"/>
      </w:r>
      <w:bookmarkEnd w:id="437"/>
      <w:bookmarkEnd w:id="438"/>
      <w:r>
        <w:rPr>
          <w:rFonts w:ascii="Calibri" w:hAnsi="Calibri" w:asciiTheme="majorHAnsi" w:hAnsiTheme="majorHAnsi"/>
          <w:lang w:val="en-GB"/>
        </w:rPr>
        <w:t xml:space="preserve">, RDT may also be used to diagnose VL suspects at Moroccan primary health centres, as already implemented in India </w:t>
      </w:r>
      <w:r>
        <w:fldChar w:fldCharType="begin"/>
      </w:r>
      <w:r>
        <w:instrText>ADDIN CSL_CITATION { "citationItems" : [ { "id" : "ITEM-1", "itemData" : { "DOI" : "10.1371/journal.pntd.0002603", "ISBN" : "1935-2727\\n1935-2735", "ISSN" : "19352727", "PMID" : "24392168", "abstract" : "BACKGROUND: Visceral Leishmaniasis (VL; also known as Kala-azar) is an ultimately fatal disease endemic in Bihar. A 2007 observational cohort study in Bihar of 251 patients with VL treated with 20 mg/Kg intravenous liposomal amphotericin B (Ambisome) demonstrated a 98% cure rate at 6-months. Between July 2007 and August 2012, M\u00e9decins Sans Fronti\u00e8res (MSF) and the Rajendra Memorial Research Institute (RMRI) implemented a VL treatment project in Bihar, India-an area highly endemic for Leishmania donovani-using this regimen as first-line treatment.\\n\\nMETHODS AND PRINCIPAL FINDINGS: Intravenous Ambisome 20 mg/kg was administered in four doses of 5 mg/kg over 4-10 days, depending on the severity of disease. Initial clinical cure at discharge was defined as improved symptoms, cessation of fever, and recession of spleen enlargement. This observational retrospective cohort study describes 8749 patients with laboratory-confirmed primary VL treated over a 5-year period: 1396 at primary healthcare centers, 7189 at hospital, and 164 at treatment camps. Initial clinical cure was achieved in 99.3% of patients (8692/8749); 0.3% of patients (26/8749) defaulted from treatment and 0.4% (31/8749) died. Overall, 1.8% of patients (161/8749) were co-infected with HIV and 0.6% (51/8749) with tuberculosis. Treatment was discontinued because of severe allergic reactions in 0.1% of patients (7/8749). Overall, 27 patients (0.3%) were readmitted with post Kala-azar dermal leishmaniasis (PKDL). Risk factors for late presentation included female sex, age &gt;15 years and being from a scheduled caste. In 2012, a long-term efficacy survey in the same area of Bihar determined relapse rates of VL after 5 years' intervention with Ambisome. Of 984 immunocompetent patients discharged between September 2010 and December 2011, 827 (84.0%) were traced in order to determine their long-term outcomes. Of these, 20 patients (2.4%) had relapsed or received further treatment for VL. Of those completing 6, 12, and 15 month follow-up, 0.3% (2/767), 3.7% (14/383), and 2.4% (4/164), respectively, had relapsed. The mean \u00b1SD time-to-relapse was 9.6\u00b13.0 months.\\n\\nSIGNIFICANCE: This is the largest cohort of VL patients treated with 20 mg/kg Ambisome worldwide. The drug has high initial and long-term efficacy, and a low rate of adverse reactions when administered under field conditions in Bihar, India. Although challenging, its use as first line treatment in rural settings in Bihar is safe and feasible.", "author" : [ { "dropping-particle" : "", "family" : "Burza", "given" : "Sakib", "non-dropping-particle" : "", "parse-names" : false, "suffix" : "" }, { "dropping-particle" : "", "family" : "Sinha", "given" : "Prabhat K.", "non-dropping-particle" : "", "parse-names" : false, "suffix" : "" }, { "dropping-particle" : "", "family" : "Mahajan", "given" : "Raman", "non-dropping-particle" : "", "parse-names" : false, "suffix" : "" }, { "dropping-particle" : "", "family" : "Lima", "given" : "Mar\u00eda Angeles", "non-dropping-particle" : "", "parse-names" : false, "suffix" : "" }, { "dropping-particle" : "", "family" : "Mitra", "given" : "Gaurab", "non-dropping-particle" : "", "parse-names" : false, "suffix" : "" }, { "dropping-particle" : "", "family" : "Verma", "given" : "Neena", "non-dropping-particle" : "", "parse-names" : false, "suffix" : "" }, { "dropping-particle" : "", "family" : "Balasegarem", "given" : "Manica", "non-dropping-particle" : "", "parse-names" : false, "suffix" : "" }, { "dropping-particle" : "", "family" : "Das", "given" : "Pradeep", "non-dropping-particle" : "", "parse-names" : false, "suffix" : "" } ], "container-title" : "PLoS Neglected Tropical Diseases", "id" : "ITEM-1", "issue" : "1", "issued" : { "date-parts" : [ [ "2014" ] ] }, "page" : "e2813", "title" : "Five-Year Field Results and Long-Term Effectiveness of 20 mg/kg Liposomal Amphotericin B (Ambisome) for Visceral Leishmaniasis in Bihar, India", "type" : "article-journal", "volume" : "8" }, "uris" : [ "http://www.mendeley.com/documents/?uuid=427bd3fc-8bd7-40b5-a8d2-d884ab515309" ] } ], "mendeley" : { "formattedCitation" : "(Burza et al., 2014)", "plainTextFormattedCitation" : "(Burza et al., 2014)", "previouslyFormattedCitation" : "(Burza et al., 2014)" }, "properties" : {  }, "schema" : "https://github.com/citation-style-language/schema/raw/master/csl-citation.json" }</w:instrText>
      </w:r>
      <w:r>
        <w:fldChar w:fldCharType="separate"/>
      </w:r>
      <w:bookmarkStart w:id="439" w:name="__Fieldmark__11322_513475976"/>
      <w:r>
        <w:rPr>
          <w:rFonts w:ascii="Calibri" w:hAnsi="Calibri" w:asciiTheme="majorHAnsi" w:hAnsiTheme="majorHAnsi"/>
          <w:lang w:val="en-GB"/>
        </w:rPr>
        <w:t>(</w:t>
      </w:r>
      <w:bookmarkStart w:id="440" w:name="__Fieldmark__15513_903549581"/>
      <w:r>
        <w:rPr>
          <w:rFonts w:ascii="Calibri" w:hAnsi="Calibri" w:asciiTheme="majorHAnsi" w:hAnsiTheme="majorHAnsi"/>
          <w:lang w:val="en-GB"/>
        </w:rPr>
        <w:t>Burza et al., 2014)</w:t>
      </w:r>
      <w:r>
        <w:rPr>
          <w:rFonts w:ascii="Calibri" w:hAnsi="Calibri" w:asciiTheme="majorHAnsi" w:hAnsiTheme="majorHAnsi"/>
          <w:lang w:val="en-GB"/>
        </w:rPr>
      </w:r>
      <w:r>
        <w:fldChar w:fldCharType="end"/>
      </w:r>
      <w:bookmarkEnd w:id="439"/>
      <w:bookmarkEnd w:id="440"/>
      <w:r>
        <w:rPr>
          <w:rFonts w:ascii="Calibri" w:hAnsi="Calibri" w:asciiTheme="majorHAnsi" w:hAnsiTheme="majorHAnsi"/>
          <w:lang w:val="en-GB"/>
        </w:rPr>
        <w:t>. However, an additional economic evaluation may be required to assess the cost-effectiveness of such a strategy.</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Introducing short-course L-AmB treatment regimen was found to be cost-effective compared to the current use of SB. L-AmB higher market price (165 US$/phial) was compensated by its increased efficacy and the reduction in hospitalisation costs due to the shorter required length of stay. Most importantly, a reduction in the price/phial to 100 US$ would make cost-effective introducing long-course L-AmB regimen, the current second line treatment in Morocco </w:t>
      </w:r>
      <w:r>
        <w:fldChar w:fldCharType="begin"/>
      </w:r>
      <w:r>
        <w:instrText>ADDIN CSL_CITATION { "citationItems" : [ { "id" : "ITEM-1", "itemData" : { "author" : [ { "dropping-particle" : "", "family" : "Minist\u00e8re de la sant\u00e9", "given" : "", "non-dropping-particle" : "", "parse-names" : false, "suffix" : "" } ], "id" : "ITEM-1", "issued" : { "date-parts" : [ [ "2010" ] ] }, "title" : "Lutte contre les leishmanioses. Guide des activit\u00e9s", "type" : "article-journal" }, "uris" : [ "http://www.mendeley.com/documents/?uuid=87f27566-990e-451d-a7ed-f87ce24e0852" ] } ], "mendeley" : { "formattedCitation" : "(Minist\u00e8re de la sant\u00e9, 2010)", "plainTextFormattedCitation" : "(Minist\u00e8re de la sant\u00e9, 2010)", "previouslyFormattedCitation" : "(Minist\u00e8re de la sant\u00e9, 2010)" }, "properties" : {  }, "schema" : "https://github.com/citation-style-language/schema/raw/master/csl-citation.json" }</w:instrText>
      </w:r>
      <w:r>
        <w:fldChar w:fldCharType="separate"/>
      </w:r>
      <w:bookmarkStart w:id="441" w:name="__Fieldmark__11331_513475976"/>
      <w:r>
        <w:rPr>
          <w:rFonts w:ascii="Calibri" w:hAnsi="Calibri" w:asciiTheme="majorHAnsi" w:hAnsiTheme="majorHAnsi"/>
          <w:lang w:val="en-GB"/>
        </w:rPr>
        <w:t>(</w:t>
      </w:r>
      <w:bookmarkStart w:id="442" w:name="__Fieldmark__15549_903549581"/>
      <w:r>
        <w:rPr>
          <w:rFonts w:ascii="Calibri" w:hAnsi="Calibri" w:asciiTheme="majorHAnsi" w:hAnsiTheme="majorHAnsi"/>
          <w:lang w:val="en-GB"/>
        </w:rPr>
        <w:t>Ministère de la santé, 2010)</w:t>
      </w:r>
      <w:r>
        <w:rPr>
          <w:rFonts w:ascii="Calibri" w:hAnsi="Calibri" w:asciiTheme="majorHAnsi" w:hAnsiTheme="majorHAnsi"/>
          <w:lang w:val="en-GB"/>
        </w:rPr>
      </w:r>
      <w:r>
        <w:fldChar w:fldCharType="end"/>
      </w:r>
      <w:bookmarkEnd w:id="441"/>
      <w:bookmarkEnd w:id="442"/>
      <w:r>
        <w:rPr>
          <w:rFonts w:ascii="Calibri" w:hAnsi="Calibri" w:asciiTheme="majorHAnsi" w:hAnsiTheme="majorHAnsi"/>
          <w:lang w:val="en-GB"/>
        </w:rPr>
        <w:t>. These findings may also apply to the rest of North African countries for their economic and epidemiological similarities to Morocco. The main conclusion of the study was that Ministries of Health of the Maghreb and the WHO should coordinate and negotiate with the manufacturer a price reduction of L-AmB.</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2. The market for antimalarial medicines in Manhiça district</w:t>
      </w:r>
    </w:p>
    <w:p>
      <w:pPr>
        <w:pStyle w:val="Normal"/>
        <w:spacing w:lineRule="auto" w:line="360"/>
        <w:rPr/>
      </w:pPr>
      <w:r>
        <w:rPr>
          <w:rFonts w:ascii="Calibri" w:hAnsi="Calibri" w:asciiTheme="majorHAnsi" w:hAnsiTheme="majorHAnsi"/>
          <w:lang w:val="en-GB"/>
        </w:rPr>
        <w:t xml:space="preserve">The third study analysed the market for paediatric AL in Manhiça district. Caregivers stated a mean ability-to-pay, defined as the theoretical demand for AL, of 0.94 US$ for treating a paediatric uncomplicated malaria episode. It implied a mean gap of 0.46 US$ compared to the lower international price of AL and of 1.04 US$ compared to its local private price. The mean ability-to-pay value obtained was higher but not dissimilar to other studies in the literature </w:t>
      </w:r>
      <w:r>
        <w:fldChar w:fldCharType="begin"/>
      </w:r>
      <w:r>
        <w:instrText>ADDIN CSL_CITATION { "citationItems" : [ { "id" : "ITEM-1", "itemData" : { "DOI" : "/S0042-96862005001100014", "ISBN" : "0042-9686", "ISSN" : "00429686", "PMID" : "16302041", "abstract" : "OBJECTIVE: The cost of combination treatment is thought to be one of the greatest barriers to their deployment, but this has not been tested directly. Estimates of willingness to pay were compared across four drug combinations used to treat Tanzanian children with uncomplicated malaria. The reasons behind respondents' valuations and the effect of socioeconomic status on willingness to pay were explored. METHODS: One hundred and eighty mothers whose children had been recruited into a recently completed randomized effectiveness trial of amodiaquine + artesunate (AQ+AS), amodiaquine + sulfadoxine-pyrimethamine (AQ+SP), artemether-lumefantrine (coartemether) and amodiaquine monotherapy (AQ) were interviewed about their willingness to pay for these drugs two weeks after treatment. Estimates of willingness to pay were elicited with the bidding game technique. FINDINGS: A significant difference was detected in the mean amounts respondents were willing to pay, with those who received AQ+AS willing to pay the most, followed by co-artemether, AQ+SP and finally AQ. The amounts patients' mothers were willing to pay for the artemisinin-based combinations, however, fell well short of the market costs. Socioeconomic status was not found to have a statistically significant effect on mean willingness to pay scores for any treatment group. CONCLUSION: This study shows that families who live in an area in which drug resistance to monotherapy is very high are willing to pay more for more effective artemisinin-based combination therapies. These amounts, however, are nowhere near the real costs of delivering the new drugs. Only with subsidies will artemisinin-based combination therapies realistically have any impact.", "author" : [ { "dropping-particle" : "", "family" : "Wiseman", "given" : "Virginia", "non-dropping-particle" : "", "parse-names" : false, "suffix" : "" }, { "dropping-particle" : "", "family" : "Onwujekwe", "given" : "Obinna", "non-dropping-particle" : "", "parse-names" : false, "suffix" : "" }, { "dropping-particle" : "", "family" : "Matovu", "given" : "Fred", "non-dropping-particle" : "", "parse-names" : false, "suffix" : "" }, { "dropping-particle" : "", "family" : "Mutabingwa", "given" : "Theonest K.", "non-dropping-particle" : "", "parse-names" : false, "suffix" : "" }, { "dropping-particle" : "", "family" : "Whitty", "given" : "Christopher J M", "non-dropping-particle" : "", "parse-names" : false, "suffix" : "" } ], "container-title" : "Bulletin of the World Health Organization", "id" : "ITEM-1", "issue" : "11", "issued" : { "date-parts" : [ [ "2005" ] ] }, "page" : "845-852", "title" : "Differences in willingness to pay for artemisinin-based combinations or monotherapy: Experiences from the United Republic of Tanzania", "type" : "article-journal", "volume" : "83" }, "uris" : [ "http://www.mendeley.com/documents/?uuid=79c4bbe1-2d45-499c-a16d-fceb0b94f191" ] } ], "mendeley" : { "formattedCitation" : "(Wiseman et al., 2005)", "plainTextFormattedCitation" : "(Wiseman et al., 2005)", "previouslyFormattedCitation" : "(Wiseman et al., 2005)" }, "properties" : {  }, "schema" : "https://github.com/citation-style-language/schema/raw/master/csl-citation.json" }</w:instrText>
      </w:r>
      <w:r>
        <w:fldChar w:fldCharType="separate"/>
      </w:r>
      <w:bookmarkStart w:id="443" w:name="__Fieldmark__11341_513475976"/>
      <w:r>
        <w:rPr>
          <w:rFonts w:ascii="Calibri" w:hAnsi="Calibri" w:asciiTheme="majorHAnsi" w:hAnsiTheme="majorHAnsi"/>
          <w:lang w:val="en-GB"/>
        </w:rPr>
        <w:t>(</w:t>
      </w:r>
      <w:bookmarkStart w:id="444" w:name="__Fieldmark__15598_903549581"/>
      <w:r>
        <w:rPr>
          <w:rFonts w:ascii="Calibri" w:hAnsi="Calibri" w:asciiTheme="majorHAnsi" w:hAnsiTheme="majorHAnsi"/>
          <w:lang w:val="en-GB"/>
        </w:rPr>
        <w:t>Wiseman et al., 2005)</w:t>
      </w:r>
      <w:r>
        <w:rPr>
          <w:rFonts w:ascii="Calibri" w:hAnsi="Calibri" w:asciiTheme="majorHAnsi" w:hAnsiTheme="majorHAnsi"/>
          <w:lang w:val="en-GB"/>
        </w:rPr>
      </w:r>
      <w:r>
        <w:fldChar w:fldCharType="end"/>
      </w:r>
      <w:bookmarkEnd w:id="443"/>
      <w:bookmarkEnd w:id="444"/>
      <w:r>
        <w:rPr>
          <w:rFonts w:ascii="Calibri" w:hAnsi="Calibri" w:asciiTheme="majorHAnsi" w:hAnsiTheme="majorHAnsi"/>
          <w:lang w:val="en-GB"/>
        </w:rPr>
        <w:t xml:space="preserve">, and significantly lower than the estimated willingness-to-pay for ITNs in the same district (2.97 US$ per net) </w:t>
      </w:r>
      <w:r>
        <w:fldChar w:fldCharType="begin"/>
      </w:r>
      <w:r>
        <w:instrText>ADDIN CSL_CITATION { "citationItems" : [ { "id" : "ITEM-1", "itemData" : { "DOI" : "10.1186/1475-2875-8-132", "ISSN" : "1475-2875", "PMID" : "19527505", "abstract" : "BACKGROUND: A key to making insecticide-treated nets (ITNs) a long-term, sustainable solution to the spread of malaria is understanding what drives their purchase and use. Few studies have analysed the determinants of demand for bed nets for malaria prevention at the household level, and in particular, how demand for nets compares with demand for other mosquito prevention methods.\n\nMETHODS: This study uses a household survey to assess the determinants of demand for bed nets in an area of endemic malaria transmission in rural, southern Mozambique. The study looks at willingness to pay (WTP) for bed nets, net ownership, usage, and past purchase behaviour, alongside expenditure and frequency of use of alternate methods for malaria prevention.\n\nRESULTS: While overall net ownership in the sample is low, the evidence fails to suggest that poorer households are less likely to own bed nets, when controlling for covariates, nor does the likelihood of receiving a free net depend on socioeconomic status (SES). Formal schooling and market knowledge seem to indicate higher average willingness to pay, while use of alternate methods for malaria prevention, and receipt of Indoor Residual Spraying (IRS) are found to decrease demand for bed nets.\n\nCONCLUSION: For long-term sustainability of ITNs to be realized, results suggest that either full or partial subsidies may be necessary in some contexts to encourage households to obtain and use nets. Given the possible substitution effects of combined malaria control interventions, and the danger of not taking into consideration household preferences for malaria prevention, successful malaria control campaigns should invest a portion of their funds towards educating recipients of IRS and users of other preventive methods on the importance of net use even in the absence of mosquitoes.", "author" : [ { "dropping-particle" : "", "family" : "Chase", "given" : "Claire", "non-dropping-particle" : "", "parse-names" : false, "suffix" : "" }, { "dropping-particle" : "", "family" : "Sicuri", "given" : "Elisa", "non-dropping-particle" : "", "parse-names" : false, "suffix" : "" }, { "dropping-particle" : "", "family" : "Sacoor", "given" : "Charfudin", "non-dropping-particle" : "", "parse-names" : false, "suffix" : "" }, { "dropping-particle" : "", "family" : "Nhalungo", "given" : "Delino", "non-dropping-particle" : "", "parse-names" : false, "suffix" : "" }, { "dropping-particle" : "", "family" : "Nhacolo", "given" : "Ariel", "non-dropping-particle" : "", "parse-names" : false, "suffix" : "" }, { "dropping-particle" : "", "family" : "Alonso", "given" : "Pedro L", "non-dropping-particle" : "", "parse-names" : false, "suffix" : "" }, { "dropping-particle" : "", "family" : "Men\u00e9ndez", "given" : "Clara", "non-dropping-particle" : "", "parse-names" : false, "suffix" : "" } ], "container-title" : "Malaria journal", "id" : "ITEM-1", "issued" : { "date-parts" : [ [ "2009", "1" ] ] }, "page" : "132", "title" : "Determinants of household demand for bed nets in a rural area of southern Mozambique.", "type" : "article-journal", "volume" : "8" }, "uris" : [ "http://www.mendeley.com/documents/?uuid=60a8ad53-cf8b-4ea9-ad69-b2ee2e04897d" ] } ], "mendeley" : { "formattedCitation" : "(Chase et al., 2009)", "plainTextFormattedCitation" : "(Chase et al., 2009)", "previouslyFormattedCitation" : "(Chase et al., 2009)" }, "properties" : {  }, "schema" : "https://github.com/citation-style-language/schema/raw/master/csl-citation.json" }</w:instrText>
      </w:r>
      <w:r>
        <w:fldChar w:fldCharType="separate"/>
      </w:r>
      <w:bookmarkStart w:id="445" w:name="__Fieldmark__11348_513475976"/>
      <w:r>
        <w:rPr>
          <w:rFonts w:ascii="Calibri" w:hAnsi="Calibri" w:asciiTheme="majorHAnsi" w:hAnsiTheme="majorHAnsi"/>
          <w:lang w:val="en-GB"/>
        </w:rPr>
        <w:t>(</w:t>
      </w:r>
      <w:bookmarkStart w:id="446" w:name="__Fieldmark__15607_903549581"/>
      <w:r>
        <w:rPr>
          <w:rFonts w:ascii="Calibri" w:hAnsi="Calibri" w:asciiTheme="majorHAnsi" w:hAnsiTheme="majorHAnsi"/>
          <w:lang w:val="en-GB"/>
        </w:rPr>
        <w:t>Chase et al., 2009)</w:t>
      </w:r>
      <w:r>
        <w:rPr>
          <w:rFonts w:ascii="Calibri" w:hAnsi="Calibri" w:asciiTheme="majorHAnsi" w:hAnsiTheme="majorHAnsi"/>
          <w:lang w:val="en-GB"/>
        </w:rPr>
      </w:r>
      <w:r>
        <w:fldChar w:fldCharType="end"/>
      </w:r>
      <w:bookmarkEnd w:id="445"/>
      <w:bookmarkEnd w:id="446"/>
      <w:r>
        <w:rPr>
          <w:rFonts w:ascii="Calibri" w:hAnsi="Calibri" w:asciiTheme="majorHAnsi" w:hAnsiTheme="majorHAnsi"/>
          <w:lang w:val="en-GB"/>
        </w:rPr>
        <w:t>.</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Calibri" w:hAnsi="Calibri" w:asciiTheme="majorHAnsi" w:hAnsiTheme="majorHAnsi"/>
          <w:lang w:val="en-GB"/>
        </w:rPr>
        <w:t>Determinants of the theoretical demand were assessed. Importantly, the negative relationship between the number of previous malaria episodes and ability-to-pay for AL represented the inverse demand function for AL, which was fairly elastic (elasticity=-14%). This can be interpreted as the more malaria episodes a child overcomes the lower malaria risk is perceived by caregivers, decreasing their demand for paediatric AL. Other covariates were found to significantly decrease the demand for AL: child age, household wealth and certain neighbour of residence inside the district in comparison to the ability-to-pay expressed by caregivers living in Manhiça town. On the contrary, household head occupation was positively associated with the demand for AL: those working in tertiary, manufacturing and mining activities had higher expected ability-to-pay compared to those working in agriculture. Willingness-to-pay for AL, used as a measure for preferences for AL incorporating its perceived quality, was also positively associated with the demand for AL. Finally, some variables, such as household head education, were not statistically significant probably due to the small sample size and low socio-economic variability within the sample.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By contrasting the estimated local demand and supply, the theoretical market cleared at a price of 0.70 U$ per uncomplicated malaria episode. The amount was lower than the ability-to-pay stated by half of the study sample. Thus, in case of stock-out at public facilities, which is often reported in Mozambique </w:t>
      </w:r>
      <w:r>
        <w:fldChar w:fldCharType="begin"/>
      </w:r>
      <w:r>
        <w:instrText>ADDIN CSL_CITATION { "citationItems" : [ { "id" : "ITEM-1", "itemData" : { "DOI" : "10.1186/s12936-015-0996-5", "ISSN" : "1475-2875", "PMID" : "26628068", "abstract" : "BACKGROUND Current World Health Organization and national protocols recommend the 'test and treat' strategy for the management of uncomplicated malaria, to reduce over prescription of artemisinin-based combination treatment (ACT). Therefore, adherence to these protocols varies in different sub-Saharan African countries and no information is available for Mozambique. This study was conducted with the aim to evaluate the prescription practices of ACT in Mozambique. METHODS Retrospective audit of medical records corresponding to the period between July and December 2011 was conducted in 22 health units across 11 provinces in Mozambique. Two health units were selected per province according to availability of laboratory data (performing microscopy and rapid diagnostics testing-RDT or RDT only) and geographic setting (rural versus urban). At each facility, demographic data, laboratory results (blood smear or RDT), and prescription of ACT were all collected from the existing records. RESULTS Between July and December 2011, a total of 61,730 cases were tested for malaria, of which 42.7 % (26,369/61,730) were positive. A total of 35.361 patients were malaria negative, and ACT was prescribed to 72.0 % (25.448/35.361) of them. Prescription of ACT to malaria negative patients was higher in the central region of the country as compared to the northern and southern (81.1 % in the central region versus 72.4 and 63.7 % in the northern and southern, respectively, p = 0.000) and in urban settings (88.7 % in rural versus 58.0 % in urban settings, p = 0.000). Stock out of RDT was observed in six (27.3 %) of the health facilities. When no RDT was available, patients were empirically treated with ACT. CONCLUSION Findings from this study demonstrate that health care worker's adherence to the new guidelines for malaria treatment is poor in Mozambique and prescription of ACT to malaria negative patients remains very high. Enhanced training and supervision activities, community education and external quality assurance might lead to significant improvements in the clinician's adherence to the new guideline for malaria treatment in Mozambique.", "author" : [ { "dropping-particle" : "", "family" : "Salom\u00e3o", "given" : "Cristolde A.", "non-dropping-particle" : "", "parse-names" : false, "suffix" : "" }, { "dropping-particle" : "", "family" : "Sacarlal", "given" : "Jahit", "non-dropping-particle" : "", "parse-names" : false, "suffix" : "" }, { "dropping-particle" : "", "family" : "Chilundo", "given" : "Baltazar", "non-dropping-particle" : "", "parse-names" : false, "suffix" : "" }, { "dropping-particle" : "", "family" : "Gudo", "given" : "Eduardo Samo", "non-dropping-particle" : "", "parse-names" : false, "suffix" : "" } ], "container-title" : "Malaria Journal", "id" : "ITEM-1", "issue" : "1", "issued" : { "date-parts" : [ [ "2015", "12", "1" ] ] }, "page" : "483", "title" : "Prescription practices for malaria in Mozambique: poor adherence to the national protocols for malaria treatment in 22 public health facilities", "type" : "article-journal", "volume" : "14" }, "uris" : [ "http://www.mendeley.com/documents/?uuid=003edb4b-589c-3918-bad0-2d67470f4ce3" ] }, { "id" : "ITEM-2", "itemData" : { "DOI" : "10.1186/s12963-015-0043-3", "ISSN" : "1478-7954", "PMID" : "25821411", "abstract" : "BACKGROUND We assessed the effects of a three-year national-level, ministry-led health information system (HIS) data quality intervention and identified associated health facility factors. METHODS Monthly summary HIS data concordance between a gold standard data quality audit and routine HIS data was assessed in 26 health facilities in Sofala Province, Mozambique across four indicators (outpatient consults, institutional births, first antenatal care visits, and third dose of diphtheria, pertussis, and tetanus vaccination) and five levels of health system data aggregation (daily facility paper registers, monthly paper facility reports, monthly paper district reports, monthly electronic district reports, and monthly electronic provincial reports) through retrospective yearly audits conducted July-August 2010-2013. We used mixed-effects linear models to quantify changes in data quality over time and associated health system determinants. RESULTS Median concordance increased from 56.3% during the baseline period (2009-2010) to 87.5% during 2012-2013. Concordance improved by 1.0% (confidence interval [CI]: 0.60, 1.5) per month during the intervention period of 2010-2011 and 1.6% (CI: 0.89, 2.2) per month from 2011-2012. No significant improvements were observed from 2009-2010 (during baseline period) or 2012-2013. Facilities with more technical staff (a\u03b2: 0.71; CI: 0.14, 1.3), more first antenatal care visits (a\u03b2: 3.3; CI: 0.43, 6.2), and fewer clinic beds (a\u03b2: -0.94; CI: -1.7, -0.20) showed more improvements. Compared to facilities with no stock-outs, facilities with five essential drugs stocked out had 51.7% (CI: -64.8 -38.6) lower data concordance. CONCLUSIONS A data quality intervention was associated with significant improvements in health information system data concordance across public-sector health facilities in rural and urban Mozambique. Concordance was higher at those facilities with more human resources for health and was associated with fewer clinic-level stock-outs of essential medicines. Increased investments should be made in data audit and feedback activities alongside targeted efforts to improve HIS data in low- and middle-income countries.", "author" : [ { "dropping-particle" : "", "family" : "Wagenaar", "given" : "Bradley H", "non-dropping-particle" : "", "parse-names" : false, "suffix" : "" }, { "dropping-particle" : "", "family" : "Gimbel", "given" : "Sarah", "non-dropping-particle" : "", "parse-names" : false, "suffix" : "" }, { "dropping-particle" : "", "family" : "Hoek", "given" : "Roxanne", "non-dropping-particle" : "", "parse-names" : false, "suffix" : "" }, { "dropping-particle" : "", "family" : "Pfeiffer", "given" : "James", "non-dropping-particle" : "", "parse-names" : false, "suffix" : "" }, { "dropping-particle" : "", "family" : "Michel", "given" : "Cathy", "non-dropping-particle" : "", "parse-names" : false, "suffix" : "" }, { "dropping-particle" : "", "family" : "Manuel", "given" : "Jo\u00e3o Luis", "non-dropping-particle" : "", "parse-names" : false, "suffix" : "" }, { "dropping-particle" : "", "family" : "Cuembelo", "given" : "Fatima", "non-dropping-particle" : "", "parse-names" : false, "suffix" : "" }, { "dropping-particle" : "", "family" : "Quembo", "given" : "Titos", "non-dropping-particle" : "", "parse-names" : false, "suffix" : "" }, { "dropping-particle" : "", "family" : "Afonso", "given" : "Pires", "non-dropping-particle" : "", "parse-names" : false, "suffix" : "" }, { "dropping-particle" : "", "family" : "Porth\u00e9", "given" : "Victoria", "non-dropping-particle" : "", "parse-names" : false, "suffix" : "" }, { "dropping-particle" : "", "family" : "Gloyd", "given" : "Stephen", "non-dropping-particle" : "", "parse-names" : false, "suffix" : "" }, { "dropping-particle" : "", "family" : "Sherr", "given" : "Kenneth", "non-dropping-particle" : "", "parse-names" : false, "suffix" : "" } ], "container-title" : "Population health metrics", "id" : "ITEM-2", "issue" : "1", "issued" : { "date-parts" : [ [ "2015", "12", "26" ] ] }, "page" : "9", "title" : "Effects of a health information system data quality intervention on concordance in Mozambique: time-series analyses from 2009-2012.", "type" : "article-journal", "volume" : "13" }, "uris" : [ "http://www.mendeley.com/documents/?uuid=e47b1cd8-f0b2-31d4-91e5-ca7a3a66a4da" ] } ], "mendeley" : { "formattedCitation" : "(Salom\u00e3o et al., 2015; Wagenaar et al., 2015)", "plainTextFormattedCitation" : "(Salom\u00e3o et al., 2015; Wagenaar et al., 2015)", "previouslyFormattedCitation" : "(Salom\u00e3o et al., 2015; Wagenaar et al., 2015)" }, "properties" : {  }, "schema" : "https://github.com/citation-style-language/schema/raw/master/csl-citation.json" }</w:instrText>
      </w:r>
      <w:r>
        <w:fldChar w:fldCharType="separate"/>
      </w:r>
      <w:bookmarkStart w:id="447" w:name="__Fieldmark__11358_513475976"/>
      <w:r>
        <w:rPr>
          <w:rFonts w:ascii="Calibri" w:hAnsi="Calibri" w:asciiTheme="majorHAnsi" w:hAnsiTheme="majorHAnsi"/>
          <w:lang w:val="en-GB"/>
        </w:rPr>
        <w:t>(</w:t>
      </w:r>
      <w:bookmarkStart w:id="448" w:name="__Fieldmark__15698_903549581"/>
      <w:r>
        <w:rPr>
          <w:rFonts w:ascii="Calibri" w:hAnsi="Calibri" w:asciiTheme="majorHAnsi" w:hAnsiTheme="majorHAnsi"/>
          <w:lang w:val="en-GB"/>
        </w:rPr>
        <w:t>Salomão et al., 2015; Wagenaar et al., 2015)</w:t>
      </w:r>
      <w:r>
        <w:rPr>
          <w:rFonts w:ascii="Calibri" w:hAnsi="Calibri" w:asciiTheme="majorHAnsi" w:hAnsiTheme="majorHAnsi"/>
          <w:lang w:val="en-GB"/>
        </w:rPr>
      </w:r>
      <w:r>
        <w:fldChar w:fldCharType="end"/>
      </w:r>
      <w:bookmarkEnd w:id="447"/>
      <w:bookmarkEnd w:id="448"/>
      <w:r>
        <w:rPr>
          <w:rFonts w:ascii="Calibri" w:hAnsi="Calibri" w:asciiTheme="majorHAnsi" w:hAnsiTheme="majorHAnsi"/>
          <w:lang w:val="en-GB"/>
        </w:rPr>
        <w:t xml:space="preserve">, a significant amount of households would not be able to afford the treatment in the private market, implying inequity in the access to malaria treatment. To avoid this situation, and despite malaria treatment is provided for free at the public health facilities, reducing, stabilising local private prices and strengthening the health systems to avoid stock-outs have been identified as potential strategies to assure access to malaria treatment </w:t>
      </w:r>
      <w:r>
        <w:fldChar w:fldCharType="begin"/>
      </w:r>
      <w:r>
        <w:instrText>ADDIN CSL_CITATION { "citationItems" : [ { "id" : "ITEM-1", "itemData" : { "DOI" : "10.1186/1475-2875-11-399", "ISBN" : "1475-2875", "ISSN" : "1475-2875", "PMID" : "23198961", "abstract" : "The global demand for artemisinin-based combination therapy (ACT) has grown sharply since its recommendation by the World Health Organization in 2002. However, a combination of financing and programmatic uncertainties, limited suppliers of finished products, information opacity across the different tiers in the supply chain, and widespread fluctuations in raw material prices have together contributed to a market fraught with demand and supply uncertainties and price volatility. Various short-term solutions have been deployed to alleviate supply shortages caused by these challenges; however, new mechanisms are required to build resilience into the supply chain. This review concludes that a mix of strategies is required to stabilize the artemisinin and ACT market. First, better and more effective pooling of demand and supply risks and better contracting to allow risk sharing among the stakeholders are needed. Physical and financial buffer stocks will enable better matching of demand and supply in the short and medium term. Secondly, physical buffers will allow stable supplies when there are procurement and supply management challenges while financial buffer funds will address issues around funding disruptions. Finally, in the medium to long term, significant investments in country level system strengthening will be required to minimize national level demand uncertainties. In addition a voluntary standard for extractors to ensure appropriate purchasing and sales practices as well as minimum quality and ethical standards could help stabilize the artemisinin market in the long term.", "author" : [ { "dropping-particle" : "", "family" : "Shretta", "given" : "Rima", "non-dropping-particle" : "", "parse-names" : false, "suffix" : "" }, { "dropping-particle" : "", "family" : "Yadav", "given" : "Prashant", "non-dropping-particle" : "", "parse-names" : false, "suffix" : "" } ], "container-title" : "Malaria journal", "id" : "ITEM-1", "issued" : { "date-parts" : [ [ "2012" ] ] }, "page" : "399", "title" : "Stabilizing supply of artemisinin and artemisinin-based combination therapy in an era of wide-spread scale-up.", "type" : "article-journal", "volume" : "11" }, "uris" : [ "http://www.mendeley.com/documents/?uuid=dec0f093-4160-4465-8311-9ebaaf80664c" ] } ], "mendeley" : { "formattedCitation" : "(Shretta and Yadav, 2012)", "plainTextFormattedCitation" : "(Shretta and Yadav, 2012)", "previouslyFormattedCitation" : "(Shretta and Yadav, 2012)" }, "properties" : {  }, "schema" : "https://github.com/citation-style-language/schema/raw/master/csl-citation.json" }</w:instrText>
      </w:r>
      <w:r>
        <w:fldChar w:fldCharType="separate"/>
      </w:r>
      <w:bookmarkStart w:id="449" w:name="__Fieldmark__11365_513475976"/>
      <w:r>
        <w:rPr>
          <w:rFonts w:ascii="Calibri" w:hAnsi="Calibri" w:asciiTheme="majorHAnsi" w:hAnsiTheme="majorHAnsi"/>
          <w:lang w:val="en-GB"/>
        </w:rPr>
        <w:t>(</w:t>
      </w:r>
      <w:bookmarkStart w:id="450" w:name="__Fieldmark__15717_903549581"/>
      <w:r>
        <w:rPr>
          <w:rFonts w:ascii="Calibri" w:hAnsi="Calibri" w:asciiTheme="majorHAnsi" w:hAnsiTheme="majorHAnsi"/>
          <w:lang w:val="en-GB"/>
        </w:rPr>
        <w:t>Shretta and Yadav, 2012)</w:t>
      </w:r>
      <w:r>
        <w:rPr>
          <w:rFonts w:ascii="Calibri" w:hAnsi="Calibri" w:asciiTheme="majorHAnsi" w:hAnsiTheme="majorHAnsi"/>
          <w:lang w:val="en-GB"/>
        </w:rPr>
      </w:r>
      <w:r>
        <w:fldChar w:fldCharType="end"/>
      </w:r>
      <w:bookmarkEnd w:id="449"/>
      <w:bookmarkEnd w:id="450"/>
      <w:r>
        <w:rPr>
          <w:rFonts w:ascii="Calibri" w:hAnsi="Calibri" w:asciiTheme="majorHAnsi" w:hAnsiTheme="majorHAnsi"/>
          <w:lang w:val="en-GB"/>
        </w:rPr>
        <w:t>. Besides, at the equilibrium, the estimated suppliers’ surplus was twice the consumers’, suggesting that a welfare redistribution would be beneficial to the consumers.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b/>
          <w:b/>
          <w:lang w:val="en-GB"/>
        </w:rPr>
      </w:pPr>
      <w:r>
        <w:rPr>
          <w:rFonts w:ascii="Calibri" w:hAnsi="Calibri" w:asciiTheme="majorHAnsi" w:hAnsiTheme="majorHAnsi"/>
          <w:b/>
          <w:lang w:val="en-GB"/>
        </w:rPr>
        <w:t>3. Costs of a school-based demonstration programme of HPV vaccination to adolescent girls</w:t>
      </w:r>
    </w:p>
    <w:p>
      <w:pPr>
        <w:pStyle w:val="Normal"/>
        <w:spacing w:lineRule="auto" w:line="360"/>
        <w:rPr/>
      </w:pPr>
      <w:r>
        <w:rPr>
          <w:rFonts w:ascii="Calibri" w:hAnsi="Calibri" w:asciiTheme="majorHAnsi" w:hAnsiTheme="majorHAnsi"/>
          <w:lang w:val="en-GB"/>
        </w:rPr>
        <w:t xml:space="preserve">The last study evaluated the costs associated with delivering HPV vaccination for the 2014 cycle in Manhiça district. The average economic cost per dose of the district programme was 17.59 US$, of which 1.42 US$ were introduction, 15.64 US$ recurrent and 0.53 US$ cold-chain costs. The estimated cost per dose was slightly lower than the recent mean cost per dose reported in other similar programmes </w:t>
      </w:r>
      <w:r>
        <w:fldChar w:fldCharType="begin"/>
      </w:r>
      <w:r>
        <w:instrText>ADDIN CSL_CITATION { "citationItems" : [ { "id" : "ITEM-1", "itemData" : { "DOI" : "10.1371/journal.pone.0182663", "ISBN" : "1111111111", "ISSN" : "19326203", "author" : [ { "dropping-particle" : "", "family" : "Botwright", "given" : "Siobhan", "non-dropping-particle" : "", "parse-names" : false, "suffix" : "" }, { "dropping-particle" : "", "family" : "Holroyd", "given" : "Taylor", "non-dropping-particle" : "", "parse-names" : false, "suffix" : "" }, { "dropping-particle" : "", "family" : "Nanda", "given" : "Shreya", "non-dropping-particle" : "", "parse-names" : false, "suffix" : "" }, { "dropping-particle" : "", "family" : "Bloem", "given" : "Paul", "non-dropping-particle" : "", "parse-names" : false, "suffix" : "" }, { "dropping-particle" : "", "family" : "Griffiths", "given" : "Ulla K.", "non-dropping-particle" : "", "parse-names" : false, "suffix" : "" }, { "dropping-particle" : "", "family" : "Sidibe", "given" : "Anissa", "non-dropping-particle" : "", "parse-names" : false, "suffix" : "" }, { "dropping-particle" : "", "family" : "Hutubessy", "given" : "Raymond C.W.", "non-dropping-particle" : "", "parse-names" : false, "suffix" : "" } ], "container-title" : "PLoS ONE", "id" : "ITEM-1", "issue" : "10", "issued" : { "date-parts" : [ [ "2017" ] ] }, "page" : "1-13", "title" : "Experiences of operational costs of HPV vaccine delivery strategies in Gavi-supported demonstration projects", "type" : "article-journal", "volume" : "12" }, "uris" : [ "http://www.mendeley.com/documents/?uuid=eba0d925-f80e-4ab2-beff-b91776269655" ] } ], "mendeley" : { "formattedCitation" : "(Botwright et al., 2017)", "plainTextFormattedCitation" : "(Botwright et al., 2017)", "previouslyFormattedCitation" : "(Botwright et al., 2017)" }, "properties" : {  }, "schema" : "https://github.com/citation-style-language/schema/raw/master/csl-citation.json" }</w:instrText>
      </w:r>
      <w:r>
        <w:fldChar w:fldCharType="separate"/>
      </w:r>
      <w:bookmarkStart w:id="451" w:name="__Fieldmark__11375_513475976"/>
      <w:r>
        <w:rPr>
          <w:rFonts w:ascii="Calibri" w:hAnsi="Calibri" w:asciiTheme="majorHAnsi" w:hAnsiTheme="majorHAnsi"/>
          <w:lang w:val="en-GB"/>
        </w:rPr>
        <w:t>(</w:t>
      </w:r>
      <w:bookmarkStart w:id="452" w:name="__Fieldmark__15791_903549581"/>
      <w:r>
        <w:rPr>
          <w:rFonts w:ascii="Calibri" w:hAnsi="Calibri" w:asciiTheme="majorHAnsi" w:hAnsiTheme="majorHAnsi"/>
          <w:lang w:val="en-GB"/>
        </w:rPr>
        <w:t>Botwright et al., 2017)</w:t>
      </w:r>
      <w:r>
        <w:rPr>
          <w:rFonts w:ascii="Calibri" w:hAnsi="Calibri" w:asciiTheme="majorHAnsi" w:hAnsiTheme="majorHAnsi"/>
          <w:lang w:val="en-GB"/>
        </w:rPr>
      </w:r>
      <w:r>
        <w:fldChar w:fldCharType="end"/>
      </w:r>
      <w:bookmarkEnd w:id="451"/>
      <w:bookmarkEnd w:id="452"/>
      <w:r>
        <w:rPr>
          <w:rFonts w:ascii="Calibri" w:hAnsi="Calibri" w:asciiTheme="majorHAnsi" w:hAnsiTheme="majorHAnsi"/>
          <w:lang w:val="en-GB"/>
        </w:rPr>
        <w:t xml:space="preserve">. The programme fully immunised the 77% of the total target population, which consisted of 10-year-old girls receiving three doses. The delivery followed a school-based approach, which implied that the vast majority of girls were vaccinated at one of the district’s primary schools, and only two girls received vaccination at a health facility. Most of the non-immunised girls were either absent on the vaccination day or permanently dropped out from school, as it is often reported in LICs </w:t>
      </w:r>
      <w:r>
        <w:fldChar w:fldCharType="begin"/>
      </w:r>
      <w:r>
        <w:instrText>ADDIN CSL_CITATION { "citationItems" : [ { "id" : "ITEM-1", "itemData" : { "DOI" : "10.1016/j.vaccine.2013.06.016", "ISBN" : "0264-410X", "ISSN" : "0264410X", "PMID" : "23777956", "abstract" : "Prophylactic vaccines for human papillomavirus (HPV) are being introduced in many countries for the prevention of cervical cancer, the second most important cause of cancer-related death in women globally. This is likely to have a significant impact on the future burden of cervical cancer, particularly where screening is non-existent or limited in scale. Previous research on the challenges of vaccinating girls with the HPV vaccine has focused on evidence from developed countries. We conducted a systematic search of the literature in order to describe the barriers and challenges to implementation of HPV vaccine in low- and middle-income countries. We identified literature published post-2006 to September 2012 from five major databases. We validated the findings of the literature review with evidence from qualitative key informant interviews. Three key barriers to HPV vaccine implementation were identified: sociocultural, health systems and political. A linked theme, the sustainability of HPV vaccines programmes in low- and middle-income countries, cuts across these three barriers. Delivering HPV vaccine successfully will require multiple barriers to be addressed. Earlier research in developed countries emphasised sociocultural issues as the most significant barriers for vaccine roll-out. Our evidence suggests that the range of challenges for poorer countries is significantly greater, not least the challenge of reaching girls for three doses in settings where school attendance is low and/or irregular. Financial and political barriers to HPV vaccine roll-out continue to be significant for many poorer countries. Several demonstration and pilot projects have achieved high rates of acceptability and coverage and lessons learned should be documented and shared. ?? 2013 The Authors.", "author" : [ { "dropping-particle" : "", "family" : "Wigle", "given" : "Jannah", "non-dropping-particle" : "", "parse-names" : false, "suffix" : "" }, { "dropping-particle" : "", "family" : "Coast", "given" : "Ernestina", "non-dropping-particle" : "", "parse-names" : false, "suffix" : "" }, { "dropping-particle" : "", "family" : "Watson-Jones", "given" : "Deborah", "non-dropping-particle" : "", "parse-names" : false, "suffix" : "" } ], "container-title" : "Vaccine", "id" : "ITEM-1", "issue" : "37", "issued" : { "date-parts" : [ [ "2013" ] ] }, "page" : "3811-3817", "publisher" : "Elsevier Ltd", "title" : "Human papillomavirus (HPV) vaccine implementation in low and middle-income countries (LMICs): Health system experiences and prospects", "type" : "article-journal", "volume" : "31" }, "uris" : [ "http://www.mendeley.com/documents/?uuid=a21725c1-184c-46d2-a237-6868a9c773fe" ] } ], "mendeley" : { "formattedCitation" : "(Wigle et al., 2013)", "plainTextFormattedCitation" : "(Wigle et al., 2013)", "previouslyFormattedCitation" : "(Wigle et al., 2013)" }, "properties" : {  }, "schema" : "https://github.com/citation-style-language/schema/raw/master/csl-citation.json" }</w:instrText>
      </w:r>
      <w:r>
        <w:fldChar w:fldCharType="separate"/>
      </w:r>
      <w:bookmarkStart w:id="453" w:name="__Fieldmark__11382_513475976"/>
      <w:r>
        <w:rPr>
          <w:rFonts w:ascii="Calibri" w:hAnsi="Calibri" w:asciiTheme="majorHAnsi" w:hAnsiTheme="majorHAnsi"/>
          <w:lang w:val="en-GB"/>
        </w:rPr>
        <w:t>(</w:t>
      </w:r>
      <w:bookmarkStart w:id="454" w:name="__Fieldmark__15820_903549581"/>
      <w:r>
        <w:rPr>
          <w:rFonts w:ascii="Calibri" w:hAnsi="Calibri" w:asciiTheme="majorHAnsi" w:hAnsiTheme="majorHAnsi"/>
          <w:lang w:val="en-GB"/>
        </w:rPr>
        <w:t>Wigle et al., 2013)</w:t>
      </w:r>
      <w:r>
        <w:rPr>
          <w:rFonts w:ascii="Calibri" w:hAnsi="Calibri" w:asciiTheme="majorHAnsi" w:hAnsiTheme="majorHAnsi"/>
          <w:lang w:val="en-GB"/>
        </w:rPr>
      </w:r>
      <w:r>
        <w:fldChar w:fldCharType="end"/>
      </w:r>
      <w:bookmarkEnd w:id="453"/>
      <w:bookmarkEnd w:id="454"/>
      <w:r>
        <w:rPr>
          <w:rFonts w:ascii="Calibri" w:hAnsi="Calibri" w:asciiTheme="majorHAnsi" w:hAnsiTheme="majorHAnsi"/>
          <w:lang w:val="en-GB"/>
        </w:rPr>
        <w:t xml:space="preserve">. Thus, despite achieving high immunisation rates, the financial cost per fully immunised girl (17.95 US$) was higher than most of other similar demonstration programmes published in the literature (e.g., 2.49 US$ in India) but lower that those reported in Vietnam (20.36 US$) </w:t>
      </w:r>
      <w:r>
        <w:fldChar w:fldCharType="begin"/>
      </w:r>
      <w:r>
        <w:instrText>ADDIN CSL_CITATION { "citationItems" : [ { "id" : "ITEM-1", "itemData" : { "DOI" : "10.1186/1741-7015-10-136", "ISBN" : "1741-7015", "ISSN" : "1741-7015", "PMID" : "23146319", "abstract" : "BACKGROUND: The purpose, methods, data sources and assumptions behind the World Health Organization (WHO) Cervical Cancer Prevention and Control Costing (C4P) tool that was developed to assist low- and middle-income countries (LMICs) with planning and costing their nationwide human papillomavirus (HPV) vaccination program are presented. Tanzania is presented as a case study where the WHO C4P tool was used to cost and plan the roll-out of HPV vaccines nationwide as part of the national comprehensive cervical cancer prevention and control strategy. METHODS: The WHO C4P tool focuses on estimating the incremental costs to the health system of vaccinating adolescent girls through school-, health facility- and/or outreach-based strategies. No costs to the user (school girls, parents or caregivers) are included. Both financial (or costs to the Ministry of Health) and economic costs are estimated. The cost components for service delivery include training, vaccination (health personnel time and transport, stationery for tally sheets and vaccination cards, and so on), social mobilization/IEC (information, education and communication), supervision, and monitoring and evaluation (M&amp;E). The costs of all the resources used for HPV vaccination are totaled and shown with and without the estimated cost of the vaccine. The total cost is also divided by the number of doses administered and number of fully immunized girls (FIGs) to estimate the cost per dose and cost per FIG. RESULTS: Over five years (2011 to 2015), the cost of establishing an HPV vaccine program that delivers three doses of vaccine to girls at schools via phased national introduction (three regions in year 1, ten regions in year 2 and all 26 regions in years 3 to 5) in Tanzania is estimated to be US$9.2 million (excluding vaccine costs) and US$31.5 million (with vaccine) assuming a vaccine price of US$5 (GAVI 2011, formerly the Global Alliance for Vaccines and Immunizations). This is equivalent to a financial cost of US$5.77 per FIG, excluding the vaccine cost. The most important costs of service delivery are social mobilization/IEC and service delivery operational costs. CONCLUSIONS: When countries expand their immunization schedules with new vaccines such as the HPV vaccine, they face initial costs to fund critical pre-introduction activities, as well as incremental system costs to deliver the vaccines on an ongoing basis. In anticipation, governments need to plan ahead for non-vaccine costs so they wil\u2026", "author" : [ { "dropping-particle" : "", "family" : "Hutubessy", "given" : "R", "non-dropping-particle" : "", "parse-names" : false, "suffix" : "" }, { "dropping-particle" : "", "family" : "Levin", "given" : "A", "non-dropping-particle" : "", "parse-names" : false, "suffix" : "" }, { "dropping-particle" : "", "family" : "Wang", "given" : "S", "non-dropping-particle" : "", "parse-names" : false, "suffix" : "" }, { "dropping-particle" : "", "family" : "Morgan", "given" : "W", "non-dropping-particle" : "", "parse-names" : false, "suffix" : "" }, { "dropping-particle" : "", "family" : "Ally", "given" : "M", "non-dropping-particle" : "", "parse-names" : false, "suffix" : "" }, { "dropping-particle" : "", "family" : "John", "given" : "T", "non-dropping-particle" : "", "parse-names" : false, "suffix" : "" }, { "dropping-particle" : "", "family" : "Broutet", "given" : "N", "non-dropping-particle" : "", "parse-names" : false, "suffix" : "" } ], "container-title" : "BMC Med", "id" : "ITEM-1", "issued" : { "date-parts" : [ [ "2012" ] ] }, "page" : "136", "title" : "A case study using the United Republic of Tanzania: costing nationwide HPV vaccine delivery using the WHO Cervical Cancer Prevention and Control Costing Tool", "type" : "article-journal", "volume" : "10" }, "uris" : [ "http://www.mendeley.com/documents/?uuid=cb6b7103-c93a-4855-93f8-e86d76757a84" ] }, { "id" : "ITEM-2", "itemData" : { "DOI" : "10.1371/journal.pone.0101114", "ISBN" : "1932-6203 (Electronic)\\r1932-6203 (Linking)", "ISSN" : "19326203", "PMID" : "24968002", "abstract" : "BACKGROUND: In November 2011, the GAVI Alliance made the decision to add HPV vaccine as one of the new vaccines for which countries eligible for its funding (less than $1520 per capita income) could apply to receive support for national HPV vaccination, provided they could demonstrate the ability to deliver HPV vaccines. This paper describes the data and analysis shared with GAVI policymakers for this decision regarding GAVI HPV vaccine support. The paper reviews why strategies and costs for HPV vaccine delivery are different from other vaccines and what is known about the cost components from available data that originated primarily from HPV vaccine delivery costing studies in low and middle income-countries. METHODS: Financial costs of HPV vaccine delivery were compared across three sources of data: 1) vaccine delivery costing of pilot projects in five low and lower-middle income countries; 2) cost estimates of national HPV vaccination in two low income countries; and 3) actual expenditure data from national HPV vaccine introduction in a low income country. Both costs of resources required to introduce the vaccine (or initial one-time investment, such as cold chain equipment purchases) and recurrent (ongoing costs that repeat every year) costs, such as transport and health personnel time, were analyzed. The cost per dose, cost per fully immunized girl (FIG) and cost per eligible girl were compared across studies. RESULTS: Costs varied among pilot projects and estimates of national programs due to differences in scale and service delivery strategy. The average introduction costs per fully immunized girl ranged from $1.49 to $18.94 while recurrent costs per girl ranged from $1.00 to $15.69, with both types of costs varying by delivery strategy and country. Evaluating delivery costs along programme characteristics as well as country characteristics (population density, income/cost level, existing service delivery infrastructure) are likely the most informative and useful for anticipating costs for HPV vaccine delivery. CONCLUSIONS: This paper demonstrates the importance of country level cost data to inform global donor policies for vaccine introduction support. Such data are also valuable for informing national decisions on HPV vaccine introduction.", "author" : [ { "dropping-particle" : "", "family" : "Levin", "given" : "Ann", "non-dropping-particle" : "", "parse-names" : false, "suffix" : "" }, { "dropping-particle" : "", "family" : "Wang", "given" : "Susan A.", "non-dropping-particle" : "", "parse-names" : false, "suffix" : "" }, { "dropping-particle" : "", "family" : "Levin", "given" : "Carol", "non-dropping-particle" : "", "parse-names" : false, "suffix" : "" }, { "dropping-particle" : "", "family" : "Tsu", "given" : "Vivien", "non-dropping-particle" : "", "parse-names" : false, "suffix" : "" }, { "dropping-particle" : "", "family" : "Hutubessy", "given" : "Raymond", "non-dropping-particle" : "", "parse-names" : false, "suffix" : "" } ], "container-title" : "PLoS ONE", "id" : "ITEM-2", "issue" : "6", "issued" : { "date-parts" : [ [ "2014" ] ] }, "title" : "Costs of introducing and delivering HPV vaccines in low and lower middle income countries: Inputs for GAVI policy on introduction grant support to countries", "type" : "article-journal", "volume" : "9" }, "uris" : [ "http://www.mendeley.com/documents/?uuid=236031b7-24ea-491f-ae5b-54082ef7af6d" ] }, { "id" : "ITEM-3", "itemData" : { "DOI" : "10.2471/BLT.12.113837", "ISBN" : "http://dx.doi.org/10.2471/BLT.12.113837", "ISSN" : "1564-0604", "PMID" : "23940406", "abstract" : "OBJECTIVE: To estimate the incremental delivery cost of human papillomavirus (HPV) vaccination of young adolescent girls in Peru, Uganda and Viet Nam.\\n\\nMETHODS: Data were collected from a sample of facilities that participated in five demonstration projects for hpv vaccine delivery: school-based delivery was used in Peru, Uganda and Viet Nam; health-centre-based delivery was also used in Viet Nam; and integrated delivery, which involved existing health services, was also used in Uganda. Microcosting methods were used to guide data collection on the use of resources (i.e. staff, supplies and equipment) and data were obtained from government, demonstration project and health centre administrative records. Delivery costs were expressed in 2009 United States dollars (US$). Exclusively project-related expenses and the cost of the vaccine were excluded.\\n\\nFINDINGS: The economic delivery cost per vaccine dose ranged from US$ 1.44 for integrated outreach in Uganda to US$ 3.88 for school-based delivery in Peru. In Viet Nam, the lowest cost per dose was US$ 1.92 for health-centre-based delivery. Cost profiles revealed that, in general, the largest contributing factors were project start-up costs and recurrent personnel costs. The delivery cost of HPV vaccine was higher than published costs for traditional vaccines recommended by the Expanded Programme on Immunization (EPI).\\n\\nCONCLUSION: The cost of delivering HPV vaccine to young adolescent girls in Peru, Uganda and Viet Nam was higher than that for vaccines currently in the EPI schedule. The cost per vaccine dose was lower when delivery was integrated into existing health services.\\n\\nAbstract available from the publisher.\\n\\nAbstract available from the publisher.\\n\\nAbstract available from the publisher.\\n\\nAbstract available from the publisher.\\n\\nAbstract available from the publisher.", "author" : [ { "dropping-particle" : "", "family" : "Levin", "given" : "Carol E", "non-dropping-particle" : "", "parse-names" : false, "suffix" : "" }, { "dropping-particle" : "", "family" : "Minh", "given" : "Hoang", "non-dropping-particle" : "Van", "parse-names" : false, "suffix" : "" }, { "dropping-particle" : "", "family" : "Odaga", "given" : "John", "non-dropping-particle" : "", "parse-names" : false, "suffix" : "" }, { "dropping-particle" : "", "family" : "Rout", "given" : "Swampa Sarit", "non-dropping-particle" : "", "parse-names" : false, "suffix" : "" }, { "dropping-particle" : "", "family" : "Ngoc", "given" : "Diep Nguyen Thi", "non-dropping-particle" : "", "parse-names" : false, "suffix" : "" }, { "dropping-particle" : "", "family" : "Menezes", "given" : "Lysander", "non-dropping-particle" : "", "parse-names" : false, "suffix" : "" }, { "dropping-particle" : "", "family" : "Araujo", "given" : "Maria Ana Mendoza", "non-dropping-particle" : "", "parse-names" : false, "suffix" : "" }, { "dropping-particle" : "", "family" : "LaMontagne", "given" : "D Scott", "non-dropping-particle" : "", "parse-names" : false, "suffix" : "" } ], "container-title" : "Bulletin of the World Health Organization", "id" : "ITEM-3", "issue" : "8", "issued" : { "date-parts" : [ [ "2013" ] ] }, "page" : "585-92", "title" : "Delivery cost of human papillomavirus vaccination of young adolescent girls in Peru, Uganda and Viet Nam.", "type" : "article-journal", "volume" : "91" }, "uris" : [ "http://www.mendeley.com/documents/?uuid=4f350771-3333-4146-8564-51f618a01872" ] } ], "mendeley" : { "formattedCitation" : "(Hutubessy et al., 2012; Levin et al., 2014; Levin et al., 2013)", "plainTextFormattedCitation" : "(Hutubessy et al., 2012; Levin et al., 2014; Levin et al., 2013)", "previouslyFormattedCitation" : "(Hutubessy et al., 2012; Levin et al., 2014; Levin et al., 2013)" }, "properties" : {  }, "schema" : "https://github.com/citation-style-language/schema/raw/master/csl-citation.json" }</w:instrText>
      </w:r>
      <w:r>
        <w:fldChar w:fldCharType="separate"/>
      </w:r>
      <w:bookmarkStart w:id="455" w:name="__Fieldmark__11389_513475976"/>
      <w:r>
        <w:rPr>
          <w:rFonts w:ascii="Calibri" w:hAnsi="Calibri" w:asciiTheme="majorHAnsi" w:hAnsiTheme="majorHAnsi"/>
          <w:lang w:val="en-GB"/>
        </w:rPr>
        <w:t>(</w:t>
      </w:r>
      <w:bookmarkStart w:id="456" w:name="__Fieldmark__15842_903549581"/>
      <w:r>
        <w:rPr>
          <w:rFonts w:ascii="Calibri" w:hAnsi="Calibri" w:asciiTheme="majorHAnsi" w:hAnsiTheme="majorHAnsi"/>
          <w:lang w:val="en-GB"/>
        </w:rPr>
        <w:t>Hutubessy et al., 2012; Levin et al., 2014; Levin et al., 2013)</w:t>
      </w:r>
      <w:r>
        <w:rPr>
          <w:rFonts w:ascii="Calibri" w:hAnsi="Calibri" w:asciiTheme="majorHAnsi" w:hAnsiTheme="majorHAnsi"/>
          <w:lang w:val="en-GB"/>
        </w:rPr>
      </w:r>
      <w:r>
        <w:fldChar w:fldCharType="end"/>
      </w:r>
      <w:bookmarkEnd w:id="455"/>
      <w:bookmarkEnd w:id="456"/>
      <w:r>
        <w:rPr>
          <w:rFonts w:ascii="Calibri" w:hAnsi="Calibri" w:asciiTheme="majorHAnsi" w:hAnsiTheme="majorHAnsi"/>
          <w:lang w:val="en-GB"/>
        </w:rPr>
        <w:t>. Estimated costs highly depend on the vaccination coverage and on the delivery strategy followed, but also on district characteristics within the countries analysed, such as the moderate population density or reduced proximity of health facilities to schools.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pPr>
      <w:r>
        <w:rPr>
          <w:rFonts w:ascii="Calibri" w:hAnsi="Calibri" w:asciiTheme="majorHAnsi" w:hAnsiTheme="majorHAnsi"/>
          <w:lang w:val="en-GB"/>
        </w:rPr>
        <w:t xml:space="preserve">The study suggested how to use resources more efficiently if vaccination is introduced in Mozambique at a national scale: first, reduce the number of doses for fully immunisation to 2, instead of 3, as was recently recommended by the WHO </w:t>
      </w:r>
      <w:r>
        <w:fldChar w:fldCharType="begin"/>
      </w:r>
      <w:r>
        <w:instrText>ADDIN CSL_CITATION { "citationItems" : [ { "id" : "ITEM-1", "itemData" : { "ISBN" : "9789241501590", "author" : [ { "dropping-particle" : "", "family" : "World Health Organization", "given" : "", "non-dropping-particle" : "", "parse-names" : false, "suffix" : "" } ], "id" : "ITEM-1", "issued" : { "date-parts" : [ [ "2014" ] ] }, "title" : "Evidence based recommendations on Human Papilloma Virus (HPV) Vaccines Schedules. Background paper for SAGE discussions.", "type" : "report" }, "uris" : [ "http://www.mendeley.com/documents/?uuid=02dc7e02-0977-44a7-bf93-93f2ec9b40e1" ] } ], "mendeley" : { "formattedCitation" : "(World Health Organization, 2014d)", "plainTextFormattedCitation" : "(World Health Organization, 2014d)", "previouslyFormattedCitation" : "(World Health Organization, 2014d)" }, "properties" : {  }, "schema" : "https://github.com/citation-style-language/schema/raw/master/csl-citation.json" }</w:instrText>
      </w:r>
      <w:r>
        <w:fldChar w:fldCharType="separate"/>
      </w:r>
      <w:bookmarkStart w:id="457" w:name="__Fieldmark__11398_513475976"/>
      <w:r>
        <w:rPr>
          <w:rFonts w:ascii="Calibri" w:hAnsi="Calibri" w:asciiTheme="majorHAnsi" w:hAnsiTheme="majorHAnsi"/>
          <w:lang w:val="en-GB"/>
        </w:rPr>
        <w:t>(</w:t>
      </w:r>
      <w:bookmarkStart w:id="458" w:name="__Fieldmark__15875_903549581"/>
      <w:r>
        <w:rPr>
          <w:rFonts w:ascii="Calibri" w:hAnsi="Calibri" w:asciiTheme="majorHAnsi" w:hAnsiTheme="majorHAnsi"/>
          <w:lang w:val="en-GB"/>
        </w:rPr>
        <w:t>World Health Organization, 2014d)</w:t>
      </w:r>
      <w:r>
        <w:rPr>
          <w:rFonts w:ascii="Calibri" w:hAnsi="Calibri" w:asciiTheme="majorHAnsi" w:hAnsiTheme="majorHAnsi"/>
          <w:lang w:val="en-GB"/>
        </w:rPr>
      </w:r>
      <w:r>
        <w:fldChar w:fldCharType="end"/>
      </w:r>
      <w:bookmarkEnd w:id="457"/>
      <w:bookmarkEnd w:id="458"/>
      <w:r>
        <w:rPr>
          <w:rFonts w:ascii="Calibri" w:hAnsi="Calibri" w:asciiTheme="majorHAnsi" w:hAnsiTheme="majorHAnsi"/>
          <w:lang w:val="en-GB"/>
        </w:rPr>
        <w:t>; second, reduce the number of vaccinators to one per schools (instead of 2 per school); and third, increase the vaccine coverage by implementing two community outreach services per health facility catchment area, as it is the only strategy to reach out-of-school girls. These may have led to an increase of programme coverage to above 90%, and a reduction of the financial cost to 9.99 US$ per fully immunise girl (33% decrease).</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Heading1"/>
        <w:rPr>
          <w:rFonts w:ascii="Calibri" w:hAnsi="Calibri" w:asciiTheme="majorHAnsi" w:hAnsiTheme="majorHAnsi"/>
        </w:rPr>
      </w:pPr>
      <w:bookmarkStart w:id="459" w:name="_Toc382138197"/>
      <w:bookmarkEnd w:id="459"/>
      <w:r>
        <w:rPr>
          <w:rFonts w:ascii="Calibri" w:hAnsi="Calibri" w:asciiTheme="majorHAnsi" w:hAnsiTheme="majorHAnsi"/>
        </w:rPr>
        <w:t>VI. Conclusions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median provider cost of diagnosing and treating a paediatric case of VL in Morocco was 520 US$ in 2014. This represents the 16% of the annual GDP per capita in the country (3,190 US$).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Despite antimonials require close monitoring; some patients were discharged from hospital early and completed VL treatment as outpatients at primary health centres. This practice transferred costs and risk to the households and was against indications included in the national guidelines.</w:t>
      </w:r>
      <w:r>
        <w:rPr>
          <w:rStyle w:val="Annotationreference"/>
        </w:rPr>
        <w:t xml:space="preserve"> </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RDT and short-course L-AmB regimens are cost-effective strategies compared to current practices in Morocco. It should be implemented to diagnose and treat VL in Morocco and, potentially, in other Maghrebi countries facing similar health system, economic and epidemiological challenges.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Negotiating a reduction of L-AmB price for Maghrebi countries</w:t>
      </w:r>
      <w:bookmarkStart w:id="460" w:name="_GoBack"/>
      <w:bookmarkEnd w:id="460"/>
      <w:r>
        <w:rPr>
          <w:rFonts w:ascii="Calibri" w:hAnsi="Calibri" w:asciiTheme="majorHAnsi" w:hAnsiTheme="majorHAnsi"/>
          <w:lang w:val="en-GB"/>
        </w:rPr>
        <w:t xml:space="preserve"> may be feasible and would ensure the cost-effectiveness of introducing long-course L-AmB regimen in Morocco and, probably, in the remaining North African countries.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Most caregivers seeking paediatric malaria care at public health facilities, where they receive drugs for free, could not afford buying antimalarial medicines at local private retailers; this may limit their access to treatment or they may incur in catastrophic payments in the presence of drug stock-outs in the public sector. To avoid this situation, reducing AL private price or increasing competition may be useful strategies to achieve universal access to effective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demand for AL was fairly elastic and responsive to recent disease episodes, revealing that caregivers diminished their perception of malaria risk as children overcame previous disease episodes. This reinforced the idea that AL should be given for free to households to assure access to malaria treatment.</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In Manhiça the estimated suppliers’ surplus was twice the consumers’. Thus, regulating the private supply of AL by reducing its price or by increasing competition may be relevant strategies to increase access to antimalarial medicines.</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The average cost per dose for the 2014 cycle of the HPV vaccine demonstration programme in Manhiça was lower than the mean estimation reported for other similar demonstration programmes in LMICs. However, the average cost per fully immunised girl was higher mainly due to the low vaccination coverage achieved.</w:t>
      </w:r>
    </w:p>
    <w:p>
      <w:pPr>
        <w:pStyle w:val="ListParagraph"/>
        <w:numPr>
          <w:ilvl w:val="0"/>
          <w:numId w:val="4"/>
        </w:numPr>
        <w:spacing w:lineRule="auto" w:line="360"/>
        <w:rPr>
          <w:rFonts w:ascii="Calibri" w:hAnsi="Calibri" w:asciiTheme="majorHAnsi" w:hAnsiTheme="majorHAnsi"/>
          <w:lang w:val="en-GB"/>
        </w:rPr>
      </w:pPr>
      <w:r>
        <w:rPr>
          <w:rFonts w:ascii="Calibri" w:hAnsi="Calibri" w:asciiTheme="majorHAnsi" w:hAnsiTheme="majorHAnsi"/>
          <w:lang w:val="en-GB"/>
        </w:rPr>
        <w:t>A more efficient use of the resources, including implementing community outreach services for out-of-school girls, may not only increase the programme coverage, but also substantially reduce the financial cost per fully immunised girl.</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spacing w:lineRule="auto" w:line="360"/>
        <w:rPr>
          <w:rFonts w:ascii="Calibri" w:hAnsi="Calibri" w:asciiTheme="majorHAnsi" w:hAnsiTheme="majorHAnsi"/>
        </w:rPr>
      </w:pPr>
      <w:bookmarkStart w:id="461" w:name="_Toc382138198"/>
      <w:bookmarkEnd w:id="461"/>
      <w:r>
        <w:rPr>
          <w:rFonts w:ascii="Calibri" w:hAnsi="Calibri" w:asciiTheme="majorHAnsi" w:hAnsiTheme="majorHAnsi"/>
        </w:rPr>
        <w:t>References</w:t>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widowControl w:val="false"/>
        <w:spacing w:lineRule="auto" w:line="360"/>
        <w:ind w:left="480" w:hanging="480"/>
        <w:rPr/>
      </w:pPr>
      <w:r>
        <w:fldChar w:fldCharType="begin"/>
      </w:r>
      <w:r>
        <w:instrText>ADDIN Mendeley Bibliography CSL_BIBLIOGRAPHY</w:instrText>
      </w:r>
      <w:r>
        <w:fldChar w:fldCharType="separate"/>
      </w:r>
      <w:bookmarkStart w:id="462" w:name="__Fieldmark__11428_513475976"/>
      <w:r>
        <w:rPr/>
      </w:r>
      <w:r>
        <w:rPr>
          <w:rFonts w:ascii="Calibri" w:hAnsi="Calibri"/>
          <w:lang w:val="es-ES"/>
        </w:rPr>
        <w:t>A</w:t>
      </w:r>
      <w:bookmarkStart w:id="463" w:name="__Fieldmark__16082_903549581"/>
      <w:r>
        <w:rPr>
          <w:rFonts w:ascii="Calibri" w:hAnsi="Calibri"/>
          <w:lang w:val="es-ES"/>
        </w:rPr>
        <w:t xml:space="preserve">cemoglu D, Johnson S. 2007. Disease and Development: The Effect of Life Expectancy on Economic Growth. </w:t>
      </w:r>
      <w:r>
        <w:rPr>
          <w:rFonts w:ascii="Calibri" w:hAnsi="Calibri"/>
          <w:i/>
          <w:iCs/>
          <w:lang w:val="es-ES"/>
        </w:rPr>
        <w:t>Journal of Political Economy</w:t>
      </w:r>
      <w:r>
        <w:rPr>
          <w:rFonts w:ascii="Calibri" w:hAnsi="Calibri"/>
          <w:lang w:val="es-ES"/>
        </w:rPr>
        <w:t xml:space="preserve"> </w:t>
      </w:r>
      <w:r>
        <w:rPr>
          <w:rFonts w:ascii="Calibri" w:hAnsi="Calibri"/>
          <w:b/>
          <w:bCs/>
          <w:lang w:val="es-ES"/>
        </w:rPr>
        <w:t>115</w:t>
      </w:r>
      <w:r>
        <w:rPr>
          <w:rFonts w:ascii="Calibri" w:hAnsi="Calibri"/>
          <w:lang w:val="es-ES"/>
        </w:rPr>
        <w:t>(6): 925–985. Available from: http://www.jstor.org/stable/10.1086/529000.</w:t>
      </w:r>
      <w:bookmarkEnd w:id="462"/>
      <w:bookmarkEnd w:id="463"/>
      <w:r>
        <w:rPr/>
      </w:r>
      <w:r>
        <w:fldChar w:fldCharType="end"/>
      </w:r>
    </w:p>
    <w:p>
      <w:pPr>
        <w:pStyle w:val="Normal"/>
        <w:widowControl w:val="false"/>
        <w:spacing w:lineRule="auto" w:line="360"/>
        <w:ind w:left="480" w:hanging="480"/>
        <w:rPr>
          <w:rFonts w:ascii="Calibri" w:hAnsi="Calibri"/>
          <w:lang w:val="es-ES"/>
        </w:rPr>
      </w:pPr>
      <w:r>
        <w:rPr>
          <w:rFonts w:ascii="Calibri" w:hAnsi="Calibri"/>
          <w:lang w:val="es-ES"/>
        </w:rPr>
        <w:t xml:space="preserve">Adhikari SR, Supakankunti S. 2010. A cost benefit analysis of elimination of kala-azar in Indian subcontinent: An example of Nepal. </w:t>
      </w:r>
      <w:r>
        <w:rPr>
          <w:rFonts w:ascii="Calibri" w:hAnsi="Calibri"/>
          <w:i/>
          <w:iCs/>
          <w:lang w:val="es-ES"/>
        </w:rPr>
        <w:t>Journal of Vector Borne Diseases</w:t>
      </w:r>
      <w:r>
        <w:rPr>
          <w:rFonts w:ascii="Calibri" w:hAnsi="Calibri"/>
          <w:lang w:val="es-ES"/>
        </w:rPr>
        <w:t xml:space="preserve"> </w:t>
      </w:r>
      <w:r>
        <w:rPr>
          <w:rFonts w:ascii="Calibri" w:hAnsi="Calibri"/>
          <w:b/>
          <w:bCs/>
          <w:lang w:val="es-ES"/>
        </w:rPr>
        <w:t>47</w:t>
      </w:r>
      <w:r>
        <w:rPr>
          <w:rFonts w:ascii="Calibri" w:hAnsi="Calibri"/>
          <w:lang w:val="es-ES"/>
        </w:rPr>
        <w:t>(3): 127–139.</w:t>
      </w:r>
    </w:p>
    <w:p>
      <w:pPr>
        <w:pStyle w:val="Normal"/>
        <w:widowControl w:val="false"/>
        <w:spacing w:lineRule="auto" w:line="360"/>
        <w:ind w:left="480" w:hanging="480"/>
        <w:rPr>
          <w:rFonts w:ascii="Calibri" w:hAnsi="Calibri"/>
          <w:lang w:val="es-ES"/>
        </w:rPr>
      </w:pPr>
      <w:r>
        <w:rPr>
          <w:rFonts w:ascii="Calibri" w:hAnsi="Calibri"/>
          <w:lang w:val="es-ES"/>
        </w:rPr>
        <w:t xml:space="preserve">Aerts C et al. 2017. Are public-private partnerships the solution to tackle neglected tropical diseases? A systematic review of the literature. </w:t>
      </w:r>
      <w:r>
        <w:rPr>
          <w:rFonts w:ascii="Calibri" w:hAnsi="Calibri"/>
          <w:i/>
          <w:iCs/>
          <w:lang w:val="es-ES"/>
        </w:rPr>
        <w:t>Health Policy</w:t>
      </w:r>
      <w:r>
        <w:rPr>
          <w:rFonts w:ascii="Calibri" w:hAnsi="Calibri"/>
          <w:lang w:val="es-ES"/>
        </w:rPr>
        <w:t xml:space="preserve"> </w:t>
      </w:r>
      <w:r>
        <w:rPr>
          <w:rFonts w:ascii="Calibri" w:hAnsi="Calibri"/>
          <w:b/>
          <w:bCs/>
          <w:lang w:val="es-ES"/>
        </w:rPr>
        <w:t>121</w:t>
      </w:r>
      <w:r>
        <w:rPr>
          <w:rFonts w:ascii="Calibri" w:hAnsi="Calibri"/>
          <w:lang w:val="es-ES"/>
        </w:rPr>
        <w:t>(7): 745–754. Available from: http://dx.doi.org/10.1016/j.healthpol.2017.05.005.</w:t>
      </w:r>
    </w:p>
    <w:p>
      <w:pPr>
        <w:pStyle w:val="Normal"/>
        <w:widowControl w:val="false"/>
        <w:spacing w:lineRule="auto" w:line="360"/>
        <w:ind w:left="480" w:hanging="480"/>
        <w:rPr>
          <w:rFonts w:ascii="Calibri" w:hAnsi="Calibri"/>
          <w:lang w:val="es-ES"/>
        </w:rPr>
      </w:pPr>
      <w:r>
        <w:rPr>
          <w:rFonts w:ascii="Calibri" w:hAnsi="Calibri"/>
          <w:lang w:val="es-ES"/>
        </w:rPr>
        <w:t xml:space="preserve">Alonso PL et al. 2011. A research agenda to underpin malaria eradication.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(1): e1000406. Available from: http://www.pubmedcentral.nih.gov/articlerender.fcgi?artid=3026687&amp;tool=pmcentrez&amp;rendertype=abstract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Alvar J et al. 2012. Leishmaniasis worldwide and global estimates of its incidence. </w:t>
      </w:r>
      <w:r>
        <w:rPr>
          <w:rFonts w:ascii="Calibri" w:hAnsi="Calibri"/>
          <w:i/>
          <w:iCs/>
          <w:lang w:val="es-ES"/>
        </w:rPr>
        <w:t>PLoS ONE</w:t>
      </w:r>
      <w:r>
        <w:rPr>
          <w:rFonts w:ascii="Calibri" w:hAnsi="Calibri"/>
          <w:lang w:val="es-ES"/>
        </w:rPr>
        <w:t xml:space="preserve"> </w:t>
      </w:r>
      <w:r>
        <w:rPr>
          <w:rFonts w:ascii="Calibri" w:hAnsi="Calibri"/>
          <w:b/>
          <w:bCs/>
          <w:lang w:val="es-ES"/>
        </w:rPr>
        <w:t>7</w:t>
      </w:r>
      <w:r>
        <w:rPr>
          <w:rFonts w:ascii="Calibri" w:hAnsi="Calibri"/>
          <w:lang w:val="es-ES"/>
        </w:rPr>
        <w:t>(5): e35671.</w:t>
      </w:r>
    </w:p>
    <w:p>
      <w:pPr>
        <w:pStyle w:val="Normal"/>
        <w:widowControl w:val="false"/>
        <w:spacing w:lineRule="auto" w:line="360"/>
        <w:ind w:left="480" w:hanging="480"/>
        <w:rPr>
          <w:rFonts w:ascii="Calibri" w:hAnsi="Calibri"/>
          <w:lang w:val="es-ES"/>
        </w:rPr>
      </w:pPr>
      <w:r>
        <w:rPr>
          <w:rFonts w:ascii="Calibri" w:hAnsi="Calibri"/>
          <w:lang w:val="es-ES"/>
        </w:rPr>
        <w:t xml:space="preserve">Arbyn M et al. 2011. Worldwide burden of cervical cancer in 2008. </w:t>
      </w:r>
      <w:r>
        <w:rPr>
          <w:rFonts w:ascii="Calibri" w:hAnsi="Calibri"/>
          <w:i/>
          <w:iCs/>
          <w:lang w:val="es-ES"/>
        </w:rPr>
        <w:t>Annals of Oncology</w:t>
      </w:r>
      <w:r>
        <w:rPr>
          <w:rFonts w:ascii="Calibri" w:hAnsi="Calibri"/>
          <w:lang w:val="es-ES"/>
        </w:rPr>
        <w:t xml:space="preserve"> </w:t>
      </w:r>
      <w:r>
        <w:rPr>
          <w:rFonts w:ascii="Calibri" w:hAnsi="Calibri"/>
          <w:b/>
          <w:bCs/>
          <w:lang w:val="es-ES"/>
        </w:rPr>
        <w:t>22</w:t>
      </w:r>
      <w:r>
        <w:rPr>
          <w:rFonts w:ascii="Calibri" w:hAnsi="Calibri"/>
          <w:lang w:val="es-ES"/>
        </w:rPr>
        <w:t>(12): 2675–2686.</w:t>
      </w:r>
    </w:p>
    <w:p>
      <w:pPr>
        <w:pStyle w:val="Normal"/>
        <w:widowControl w:val="false"/>
        <w:spacing w:lineRule="auto" w:line="360"/>
        <w:ind w:left="480" w:hanging="480"/>
        <w:rPr>
          <w:rFonts w:ascii="Calibri" w:hAnsi="Calibri"/>
          <w:lang w:val="es-ES"/>
        </w:rPr>
      </w:pPr>
      <w:r>
        <w:rPr>
          <w:rFonts w:ascii="Calibri" w:hAnsi="Calibri"/>
          <w:lang w:val="es-ES"/>
        </w:rPr>
        <w:t xml:space="preserve">Arcaya MC et al. 2015. Inequalities in health: Definitions, concepts, and theories. </w:t>
      </w:r>
      <w:r>
        <w:rPr>
          <w:rFonts w:ascii="Calibri" w:hAnsi="Calibri"/>
          <w:i/>
          <w:iCs/>
          <w:lang w:val="es-ES"/>
        </w:rPr>
        <w:t>Global Health Action</w:t>
      </w:r>
      <w:r>
        <w:rPr>
          <w:rFonts w:ascii="Calibri" w:hAnsi="Calibri"/>
          <w:lang w:val="es-ES"/>
        </w:rPr>
        <w:t xml:space="preserve"> </w:t>
      </w:r>
      <w:r>
        <w:rPr>
          <w:rFonts w:ascii="Calibri" w:hAnsi="Calibri"/>
          <w:b/>
          <w:bCs/>
          <w:lang w:val="es-ES"/>
        </w:rPr>
        <w:t>8</w:t>
      </w:r>
      <w:r>
        <w:rPr>
          <w:rFonts w:ascii="Calibri" w:hAnsi="Calibri"/>
          <w:lang w:val="es-ES"/>
        </w:rPr>
        <w:t>(1): 1–12.</w:t>
      </w:r>
    </w:p>
    <w:p>
      <w:pPr>
        <w:pStyle w:val="Normal"/>
        <w:widowControl w:val="false"/>
        <w:spacing w:lineRule="auto" w:line="360"/>
        <w:ind w:left="480" w:hanging="480"/>
        <w:rPr>
          <w:rFonts w:ascii="Calibri" w:hAnsi="Calibri"/>
          <w:lang w:val="es-ES"/>
        </w:rPr>
      </w:pPr>
      <w:r>
        <w:rPr>
          <w:rFonts w:ascii="Calibri" w:hAnsi="Calibri"/>
          <w:lang w:val="es-ES"/>
        </w:rPr>
        <w:t xml:space="preserve">Asenso-Okyere K et al. 2011. A review of the economic impact of malaria in agricultural development. </w:t>
      </w:r>
      <w:r>
        <w:rPr>
          <w:rFonts w:ascii="Calibri" w:hAnsi="Calibri"/>
          <w:i/>
          <w:iCs/>
          <w:lang w:val="es-ES"/>
        </w:rPr>
        <w:t>Agricultural Economics</w:t>
      </w:r>
      <w:r>
        <w:rPr>
          <w:rFonts w:ascii="Calibri" w:hAnsi="Calibri"/>
          <w:lang w:val="es-ES"/>
        </w:rPr>
        <w:t xml:space="preserve"> </w:t>
      </w:r>
      <w:r>
        <w:rPr>
          <w:rFonts w:ascii="Calibri" w:hAnsi="Calibri"/>
          <w:b/>
          <w:bCs/>
          <w:lang w:val="es-ES"/>
        </w:rPr>
        <w:t>42</w:t>
      </w:r>
      <w:r>
        <w:rPr>
          <w:rFonts w:ascii="Calibri" w:hAnsi="Calibri"/>
          <w:lang w:val="es-ES"/>
        </w:rPr>
        <w:t>(3): 293–304.</w:t>
      </w:r>
    </w:p>
    <w:p>
      <w:pPr>
        <w:pStyle w:val="Normal"/>
        <w:widowControl w:val="false"/>
        <w:spacing w:lineRule="auto" w:line="360"/>
        <w:ind w:left="480" w:hanging="480"/>
        <w:rPr>
          <w:rFonts w:ascii="Calibri" w:hAnsi="Calibri"/>
          <w:lang w:val="es-ES"/>
        </w:rPr>
      </w:pPr>
      <w:r>
        <w:rPr>
          <w:rFonts w:ascii="Calibri" w:hAnsi="Calibri"/>
          <w:lang w:val="es-ES"/>
        </w:rPr>
        <w:t>Ashraf N et al. 2010. Evaluating the Effects of Large Scale Health Interventions in Developing Countries: the Zambian malaria initiative. NBER Working Paper 16069.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2016. Cost-effective analysis of diagnostic tests for human visceral leishmaniasis in Brazil.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17</w:t>
      </w:r>
      <w:r>
        <w:rPr>
          <w:rFonts w:ascii="Calibri" w:hAnsi="Calibri"/>
          <w:lang w:val="es-ES"/>
        </w:rPr>
        <w:t>(10): 1202–1207.</w:t>
      </w:r>
    </w:p>
    <w:p>
      <w:pPr>
        <w:pStyle w:val="Normal"/>
        <w:widowControl w:val="false"/>
        <w:spacing w:lineRule="auto" w:line="360"/>
        <w:ind w:left="480" w:hanging="480"/>
        <w:rPr>
          <w:rFonts w:ascii="Calibri" w:hAnsi="Calibri"/>
          <w:lang w:val="es-ES"/>
        </w:rPr>
      </w:pPr>
      <w:r>
        <w:rPr>
          <w:rFonts w:ascii="Calibri" w:hAnsi="Calibri"/>
          <w:lang w:val="es-ES"/>
        </w:rPr>
        <w:t xml:space="preserve">Assis TSM de et al. 2015. Study of implementation and direct cost estimates for diagnostic tests for human visceral leishmaniasis in an urban area in Brazil. </w:t>
      </w:r>
      <w:r>
        <w:rPr>
          <w:rFonts w:ascii="Calibri" w:hAnsi="Calibri"/>
          <w:i/>
          <w:iCs/>
          <w:lang w:val="es-ES"/>
        </w:rPr>
        <w:t>Cadernos de Saúde Pública</w:t>
      </w:r>
      <w:r>
        <w:rPr>
          <w:rFonts w:ascii="Calibri" w:hAnsi="Calibri"/>
          <w:lang w:val="es-ES"/>
        </w:rPr>
        <w:t xml:space="preserve"> </w:t>
      </w:r>
      <w:r>
        <w:rPr>
          <w:rFonts w:ascii="Calibri" w:hAnsi="Calibri"/>
          <w:b/>
          <w:bCs/>
          <w:lang w:val="es-ES"/>
        </w:rPr>
        <w:t>31</w:t>
      </w:r>
      <w:r>
        <w:rPr>
          <w:rFonts w:ascii="Calibri" w:hAnsi="Calibri"/>
          <w:lang w:val="es-ES"/>
        </w:rPr>
        <w:t>(10): 2127–2136. Available from: http://www.scielo.br/scielo.php?script=sci_arttext&amp;pid=S0102-311X2015001002127&amp;lng=en&amp;tlng=en.</w:t>
      </w:r>
    </w:p>
    <w:p>
      <w:pPr>
        <w:pStyle w:val="Normal"/>
        <w:widowControl w:val="false"/>
        <w:spacing w:lineRule="auto" w:line="360"/>
        <w:ind w:left="480" w:hanging="480"/>
        <w:rPr>
          <w:rFonts w:ascii="Calibri" w:hAnsi="Calibri"/>
          <w:lang w:val="es-ES"/>
        </w:rPr>
      </w:pPr>
      <w:r>
        <w:rPr>
          <w:rFonts w:ascii="Calibri" w:hAnsi="Calibri"/>
          <w:lang w:val="es-ES"/>
        </w:rPr>
        <w:t>Audibert M et al. 2013. Health capital depreciation effects on development: theory and measurement. CERDI Working Paper E 2013.10. Clermont Ferrand, France.</w:t>
      </w:r>
    </w:p>
    <w:p>
      <w:pPr>
        <w:pStyle w:val="Normal"/>
        <w:widowControl w:val="false"/>
        <w:spacing w:lineRule="auto" w:line="360"/>
        <w:ind w:left="480" w:hanging="480"/>
        <w:rPr>
          <w:rFonts w:ascii="Calibri" w:hAnsi="Calibri"/>
          <w:lang w:val="es-ES"/>
        </w:rPr>
      </w:pPr>
      <w:r>
        <w:rPr>
          <w:rFonts w:ascii="Calibri" w:hAnsi="Calibri"/>
          <w:lang w:val="es-ES"/>
        </w:rPr>
        <w:t xml:space="preserve">Barofsky J et al. 2015. Malaria Eradication and Economic Outcomes in Sub-Saharan Africa: Evidence from Uganda. </w:t>
      </w:r>
      <w:r>
        <w:rPr>
          <w:rFonts w:ascii="Calibri" w:hAnsi="Calibri"/>
          <w:i/>
          <w:iCs/>
          <w:lang w:val="es-ES"/>
        </w:rPr>
        <w:t>Journal of Health Economics</w:t>
      </w:r>
      <w:r>
        <w:rPr>
          <w:rFonts w:ascii="Calibri" w:hAnsi="Calibri"/>
          <w:lang w:val="es-ES"/>
        </w:rPr>
        <w:t xml:space="preserve"> </w:t>
      </w:r>
      <w:r>
        <w:rPr>
          <w:rFonts w:ascii="Calibri" w:hAnsi="Calibri"/>
          <w:b/>
          <w:bCs/>
          <w:lang w:val="es-ES"/>
        </w:rPr>
        <w:t>44</w:t>
      </w:r>
      <w:r>
        <w:rPr>
          <w:rFonts w:ascii="Calibri" w:hAnsi="Calibri"/>
          <w:lang w:val="es-ES"/>
        </w:rPr>
        <w:t>: 118–136.</w:t>
      </w:r>
    </w:p>
    <w:p>
      <w:pPr>
        <w:pStyle w:val="Normal"/>
        <w:widowControl w:val="false"/>
        <w:spacing w:lineRule="auto" w:line="360"/>
        <w:ind w:left="480" w:hanging="480"/>
        <w:rPr>
          <w:rFonts w:ascii="Calibri" w:hAnsi="Calibri"/>
          <w:lang w:val="es-ES"/>
        </w:rPr>
      </w:pPr>
      <w:r>
        <w:rPr>
          <w:rFonts w:ascii="Calibri" w:hAnsi="Calibri"/>
          <w:lang w:val="es-ES"/>
        </w:rPr>
        <w:t xml:space="preserve">Beier JC et al. 2008. Integrated vector management for malaria control.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(Suppl 1): S4. Available from: http://malariajournal.biomedcentral.com/articles/10.1186/1475-2875-7-S1-S4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Berdud M et al. 2016. Fostering incentives for research, development, and delivery of interventions for neglected tropical diseases: Lessons from Malaria.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64–87.</w:t>
      </w:r>
    </w:p>
    <w:p>
      <w:pPr>
        <w:pStyle w:val="Normal"/>
        <w:widowControl w:val="false"/>
        <w:spacing w:lineRule="auto" w:line="360"/>
        <w:ind w:left="480" w:hanging="480"/>
        <w:rPr>
          <w:rFonts w:ascii="Calibri" w:hAnsi="Calibri"/>
          <w:lang w:val="es-ES"/>
        </w:rPr>
      </w:pPr>
      <w:r>
        <w:rPr>
          <w:rFonts w:ascii="Calibri" w:hAnsi="Calibri"/>
          <w:lang w:val="es-ES"/>
        </w:rPr>
        <w:t xml:space="preserve">Berndt ER et al. 2007. Advance market commitments for vaccines against neglected diseases: Estimating costs and effectiveness. </w:t>
      </w:r>
      <w:r>
        <w:rPr>
          <w:rFonts w:ascii="Calibri" w:hAnsi="Calibri"/>
          <w:i/>
          <w:iCs/>
          <w:lang w:val="es-ES"/>
        </w:rPr>
        <w:t>Health Economics</w:t>
      </w:r>
      <w:r>
        <w:rPr>
          <w:rFonts w:ascii="Calibri" w:hAnsi="Calibri"/>
          <w:lang w:val="es-ES"/>
        </w:rPr>
        <w:t xml:space="preserve"> </w:t>
      </w:r>
      <w:r>
        <w:rPr>
          <w:rFonts w:ascii="Calibri" w:hAnsi="Calibri"/>
          <w:b/>
          <w:bCs/>
          <w:lang w:val="es-ES"/>
        </w:rPr>
        <w:t>16</w:t>
      </w:r>
      <w:r>
        <w:rPr>
          <w:rFonts w:ascii="Calibri" w:hAnsi="Calibri"/>
          <w:lang w:val="es-ES"/>
        </w:rPr>
        <w:t>(5): 491–511.</w:t>
      </w:r>
    </w:p>
    <w:p>
      <w:pPr>
        <w:pStyle w:val="Normal"/>
        <w:widowControl w:val="false"/>
        <w:spacing w:lineRule="auto" w:line="360"/>
        <w:ind w:left="480" w:hanging="480"/>
        <w:rPr>
          <w:rFonts w:ascii="Calibri" w:hAnsi="Calibri"/>
          <w:lang w:val="es-ES"/>
        </w:rPr>
      </w:pPr>
      <w:r>
        <w:rPr>
          <w:rFonts w:ascii="Calibri" w:hAnsi="Calibri"/>
          <w:lang w:val="es-ES"/>
        </w:rPr>
        <w:t xml:space="preserve">Berry I, Berrang-Ford L. 2016. Leishmaniasis, conflict, and political terror: A spatio-temporal analysis. </w:t>
      </w:r>
      <w:r>
        <w:rPr>
          <w:rFonts w:ascii="Calibri" w:hAnsi="Calibri"/>
          <w:i/>
          <w:iCs/>
          <w:lang w:val="es-ES"/>
        </w:rPr>
        <w:t>Social Science and Medicine</w:t>
      </w:r>
      <w:r>
        <w:rPr>
          <w:rFonts w:ascii="Calibri" w:hAnsi="Calibri"/>
          <w:lang w:val="es-ES"/>
        </w:rPr>
        <w:t xml:space="preserve"> </w:t>
      </w:r>
      <w:r>
        <w:rPr>
          <w:rFonts w:ascii="Calibri" w:hAnsi="Calibri"/>
          <w:b/>
          <w:bCs/>
          <w:lang w:val="es-ES"/>
        </w:rPr>
        <w:t>167</w:t>
      </w:r>
      <w:r>
        <w:rPr>
          <w:rFonts w:ascii="Calibri" w:hAnsi="Calibri"/>
          <w:lang w:val="es-ES"/>
        </w:rPr>
        <w:t>: 140–149. Available from: http://dx.doi.org/10.1016/j.socscimed.2016.04.038.</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2013. Malaria and protective behaviours: is there a malaria trap?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 1–9.</w:t>
      </w:r>
    </w:p>
    <w:p>
      <w:pPr>
        <w:pStyle w:val="Normal"/>
        <w:widowControl w:val="false"/>
        <w:spacing w:lineRule="auto" w:line="360"/>
        <w:ind w:left="480" w:hanging="480"/>
        <w:rPr>
          <w:rFonts w:ascii="Calibri" w:hAnsi="Calibri"/>
          <w:lang w:val="es-ES"/>
        </w:rPr>
      </w:pPr>
      <w:r>
        <w:rPr>
          <w:rFonts w:ascii="Calibri" w:hAnsi="Calibri"/>
          <w:lang w:val="es-ES"/>
        </w:rPr>
        <w:t xml:space="preserve">Berthélemy J et al. 2015. Prevention or treatment? The case of malaria. </w:t>
      </w:r>
      <w:r>
        <w:rPr>
          <w:rFonts w:ascii="Calibri" w:hAnsi="Calibri"/>
          <w:i/>
          <w:iCs/>
          <w:lang w:val="es-ES"/>
        </w:rPr>
        <w:t>Economic Letters</w:t>
      </w:r>
      <w:r>
        <w:rPr>
          <w:rFonts w:ascii="Calibri" w:hAnsi="Calibri"/>
          <w:lang w:val="es-ES"/>
        </w:rPr>
        <w:t xml:space="preserve"> </w:t>
      </w:r>
      <w:r>
        <w:rPr>
          <w:rFonts w:ascii="Calibri" w:hAnsi="Calibri"/>
          <w:b/>
          <w:bCs/>
          <w:lang w:val="es-ES"/>
        </w:rPr>
        <w:t>131</w:t>
      </w:r>
      <w:r>
        <w:rPr>
          <w:rFonts w:ascii="Calibri" w:hAnsi="Calibri"/>
          <w:lang w:val="es-ES"/>
        </w:rPr>
        <w:t>: 16–19.</w:t>
      </w:r>
    </w:p>
    <w:p>
      <w:pPr>
        <w:pStyle w:val="Normal"/>
        <w:widowControl w:val="false"/>
        <w:spacing w:lineRule="auto" w:line="360"/>
        <w:ind w:left="480" w:hanging="480"/>
        <w:rPr>
          <w:rFonts w:ascii="Calibri" w:hAnsi="Calibri"/>
          <w:lang w:val="es-ES"/>
        </w:rPr>
      </w:pPr>
      <w:r>
        <w:rPr>
          <w:rFonts w:ascii="Calibri" w:hAnsi="Calibri"/>
          <w:lang w:val="es-ES"/>
        </w:rPr>
        <w:t xml:space="preserve">Bhatia M et al. 2004. Cost-effectiveness of malaria control interventions when malaria mortality is low: Insecticide-treated nets versus in-house residual spraying in India.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59</w:t>
      </w:r>
      <w:r>
        <w:rPr>
          <w:rFonts w:ascii="Calibri" w:hAnsi="Calibri"/>
          <w:lang w:val="es-ES"/>
        </w:rPr>
        <w:t>(3): 525–539.</w:t>
      </w:r>
    </w:p>
    <w:p>
      <w:pPr>
        <w:pStyle w:val="Normal"/>
        <w:widowControl w:val="false"/>
        <w:spacing w:lineRule="auto" w:line="360"/>
        <w:ind w:left="480" w:hanging="480"/>
        <w:rPr>
          <w:rFonts w:ascii="Calibri" w:hAnsi="Calibri"/>
          <w:lang w:val="es-ES"/>
        </w:rPr>
      </w:pPr>
      <w:r>
        <w:rPr>
          <w:rFonts w:ascii="Calibri" w:hAnsi="Calibri"/>
          <w:lang w:val="es-ES"/>
        </w:rPr>
        <w:t xml:space="preserve">Bhatia M, Fox-Rushby J. 2002. Willingness to pay for treated mosquito nets in Surat, India: the design and descriptive analysis of a household survey. </w:t>
      </w:r>
      <w:r>
        <w:rPr>
          <w:rFonts w:ascii="Calibri" w:hAnsi="Calibri"/>
          <w:i/>
          <w:iCs/>
          <w:lang w:val="es-ES"/>
        </w:rPr>
        <w:t>Health Policy and Planning</w:t>
      </w:r>
      <w:r>
        <w:rPr>
          <w:rFonts w:ascii="Calibri" w:hAnsi="Calibri"/>
          <w:lang w:val="es-ES"/>
        </w:rPr>
        <w:t xml:space="preserve"> </w:t>
      </w:r>
      <w:r>
        <w:rPr>
          <w:rFonts w:ascii="Calibri" w:hAnsi="Calibri"/>
          <w:b/>
          <w:bCs/>
          <w:lang w:val="es-ES"/>
        </w:rPr>
        <w:t>17</w:t>
      </w:r>
      <w:r>
        <w:rPr>
          <w:rFonts w:ascii="Calibri" w:hAnsi="Calibri"/>
          <w:lang w:val="es-ES"/>
        </w:rPr>
        <w:t>(4): 402–411.</w:t>
      </w:r>
    </w:p>
    <w:p>
      <w:pPr>
        <w:pStyle w:val="Normal"/>
        <w:widowControl w:val="false"/>
        <w:spacing w:lineRule="auto" w:line="360"/>
        <w:ind w:left="480" w:hanging="480"/>
        <w:rPr>
          <w:rFonts w:ascii="Calibri" w:hAnsi="Calibri"/>
          <w:lang w:val="es-ES"/>
        </w:rPr>
      </w:pPr>
      <w:r>
        <w:rPr>
          <w:rFonts w:ascii="Calibri" w:hAnsi="Calibri"/>
          <w:lang w:val="es-ES"/>
        </w:rPr>
        <w:t xml:space="preserve">Bhatt S et al. 2016. The effect of malaria control on Plasmodium falciparum in Africa between 2000 and 2015. </w:t>
      </w:r>
      <w:r>
        <w:rPr>
          <w:rFonts w:ascii="Calibri" w:hAnsi="Calibri"/>
          <w:i/>
          <w:iCs/>
          <w:lang w:val="es-ES"/>
        </w:rPr>
        <w:t>Nature</w:t>
      </w:r>
      <w:r>
        <w:rPr>
          <w:rFonts w:ascii="Calibri" w:hAnsi="Calibri"/>
          <w:lang w:val="es-ES"/>
        </w:rPr>
        <w:t xml:space="preserve"> </w:t>
      </w:r>
      <w:r>
        <w:rPr>
          <w:rFonts w:ascii="Calibri" w:hAnsi="Calibri"/>
          <w:b/>
          <w:bCs/>
          <w:lang w:val="es-ES"/>
        </w:rPr>
        <w:t>526</w:t>
      </w:r>
      <w:r>
        <w:rPr>
          <w:rFonts w:ascii="Calibri" w:hAnsi="Calibri"/>
          <w:lang w:val="es-ES"/>
        </w:rPr>
        <w:t>(7572): 207–211.</w:t>
      </w:r>
    </w:p>
    <w:p>
      <w:pPr>
        <w:pStyle w:val="Normal"/>
        <w:widowControl w:val="false"/>
        <w:spacing w:lineRule="auto" w:line="360"/>
        <w:ind w:left="480" w:hanging="480"/>
        <w:rPr>
          <w:rFonts w:ascii="Calibri" w:hAnsi="Calibri"/>
          <w:lang w:val="es-ES"/>
        </w:rPr>
      </w:pPr>
      <w:r>
        <w:rPr>
          <w:rFonts w:ascii="Calibri" w:hAnsi="Calibri"/>
          <w:lang w:val="es-ES"/>
        </w:rPr>
        <w:t xml:space="preserve">Bhutta ZA et al. 2014. Global burden, distribution, and interventions for infectious diseases of poverty. </w:t>
      </w:r>
      <w:r>
        <w:rPr>
          <w:rFonts w:ascii="Calibri" w:hAnsi="Calibri"/>
          <w:i/>
          <w:iCs/>
          <w:lang w:val="es-ES"/>
        </w:rPr>
        <w:t>Infectious Diseases of Poverty</w:t>
      </w:r>
      <w:r>
        <w:rPr>
          <w:rFonts w:ascii="Calibri" w:hAnsi="Calibri"/>
          <w:lang w:val="es-ES"/>
        </w:rPr>
        <w:t xml:space="preserve"> </w:t>
      </w:r>
      <w:r>
        <w:rPr>
          <w:rFonts w:ascii="Calibri" w:hAnsi="Calibri"/>
          <w:b/>
          <w:bCs/>
          <w:lang w:val="es-ES"/>
        </w:rPr>
        <w:t>3</w:t>
      </w:r>
      <w:r>
        <w:rPr>
          <w:rFonts w:ascii="Calibri" w:hAnsi="Calibri"/>
          <w:lang w:val="es-ES"/>
        </w:rPr>
        <w:t>(1): 21. Available from: http://idpjournal.biomedcentral.com/articles/10.1186/2049-9957-3-21.</w:t>
      </w:r>
    </w:p>
    <w:p>
      <w:pPr>
        <w:pStyle w:val="Normal"/>
        <w:widowControl w:val="false"/>
        <w:spacing w:lineRule="auto" w:line="360"/>
        <w:ind w:left="480" w:hanging="480"/>
        <w:rPr>
          <w:rFonts w:ascii="Calibri" w:hAnsi="Calibri"/>
          <w:lang w:val="es-ES"/>
        </w:rPr>
      </w:pPr>
      <w:r>
        <w:rPr>
          <w:rFonts w:ascii="Calibri" w:hAnsi="Calibri"/>
          <w:lang w:val="es-ES"/>
        </w:rPr>
        <w:t xml:space="preserve">Biswas S et al. 2017. Optimal combinations of control strategies and cost-effective analysis for visceral leishmaniasis disease transmission.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(2): e0172465. Available from: http://dx.plos.org/10.1371/journal.pone.0172465.</w:t>
      </w:r>
    </w:p>
    <w:p>
      <w:pPr>
        <w:pStyle w:val="Normal"/>
        <w:widowControl w:val="false"/>
        <w:spacing w:lineRule="auto" w:line="360"/>
        <w:ind w:left="480" w:hanging="480"/>
        <w:rPr>
          <w:rFonts w:ascii="Calibri" w:hAnsi="Calibri"/>
          <w:lang w:val="es-ES"/>
        </w:rPr>
      </w:pPr>
      <w:r>
        <w:rPr>
          <w:rFonts w:ascii="Calibri" w:hAnsi="Calibri"/>
          <w:lang w:val="es-ES"/>
        </w:rPr>
        <w:t>Björkman-Nyqvist M et al. 2012. Can Good Products Drive Out Bad? Evidence from Local Markets for (Fake?) Antimalarial Medicine in Uganda. CID Working Paper 242. Harvard.</w:t>
      </w:r>
    </w:p>
    <w:p>
      <w:pPr>
        <w:pStyle w:val="Normal"/>
        <w:widowControl w:val="false"/>
        <w:spacing w:lineRule="auto" w:line="360"/>
        <w:ind w:left="480" w:hanging="480"/>
        <w:rPr>
          <w:rFonts w:ascii="Calibri" w:hAnsi="Calibri"/>
          <w:lang w:val="es-ES"/>
        </w:rPr>
      </w:pPr>
      <w:r>
        <w:rPr>
          <w:rFonts w:ascii="Calibri" w:hAnsi="Calibri"/>
          <w:lang w:val="es-ES"/>
        </w:rPr>
        <w:t xml:space="preserve">Bleakley H. 2010. Malaria Eradication in the Americas: A Retrospective Analysis of Childhood Exposure.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1–45. Available from: http://www.pubmedcentral.nih.gov/articlerender.fcgi?artid=3810960&amp;tool=pmcentrez&amp;rendertype=abstract.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1999. Cost-effectiveness of competing diagnostic-therapeutic strategies for visceral leishmaniasis.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77</w:t>
      </w:r>
      <w:r>
        <w:rPr>
          <w:rFonts w:ascii="Calibri" w:hAnsi="Calibri"/>
          <w:lang w:val="es-ES"/>
        </w:rPr>
        <w:t>(8): 667–74. Available from: http://www.pubmedcentral.nih.gov/articlerender.fcgi?artid=2557711&amp;tool=pmcentrez&amp;rendertype=abstract.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Boelaert M et al. 2009. The poorest of the poor: A poverty appraisal of households affected by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14</w:t>
      </w:r>
      <w:r>
        <w:rPr>
          <w:rFonts w:ascii="Calibri" w:hAnsi="Calibri"/>
          <w:lang w:val="es-ES"/>
        </w:rPr>
        <w:t>(6): 639–644.</w:t>
      </w:r>
    </w:p>
    <w:p>
      <w:pPr>
        <w:pStyle w:val="Normal"/>
        <w:widowControl w:val="false"/>
        <w:spacing w:lineRule="auto" w:line="360"/>
        <w:ind w:left="480" w:hanging="480"/>
        <w:rPr>
          <w:rFonts w:ascii="Calibri" w:hAnsi="Calibri"/>
          <w:lang w:val="es-ES"/>
        </w:rPr>
      </w:pPr>
      <w:r>
        <w:rPr>
          <w:rFonts w:ascii="Calibri" w:hAnsi="Calibri"/>
          <w:lang w:val="es-ES"/>
        </w:rPr>
        <w:t xml:space="preserve">Bonfrer I et al. 2014. Does the distribution of healthcare utilization match needs in Africa? </w:t>
      </w:r>
      <w:r>
        <w:rPr>
          <w:rFonts w:ascii="Calibri" w:hAnsi="Calibri"/>
          <w:i/>
          <w:iCs/>
          <w:lang w:val="es-ES"/>
        </w:rPr>
        <w:t>Health Policy and Planning</w:t>
      </w:r>
      <w:r>
        <w:rPr>
          <w:rFonts w:ascii="Calibri" w:hAnsi="Calibri"/>
          <w:lang w:val="es-ES"/>
        </w:rPr>
        <w:t xml:space="preserve"> </w:t>
      </w:r>
      <w:r>
        <w:rPr>
          <w:rFonts w:ascii="Calibri" w:hAnsi="Calibri"/>
          <w:b/>
          <w:bCs/>
          <w:lang w:val="es-ES"/>
        </w:rPr>
        <w:t>29</w:t>
      </w:r>
      <w:r>
        <w:rPr>
          <w:rFonts w:ascii="Calibri" w:hAnsi="Calibri"/>
          <w:lang w:val="es-ES"/>
        </w:rPr>
        <w:t>(7): 927–937.</w:t>
      </w:r>
    </w:p>
    <w:p>
      <w:pPr>
        <w:pStyle w:val="Normal"/>
        <w:widowControl w:val="false"/>
        <w:spacing w:lineRule="auto" w:line="360"/>
        <w:ind w:left="480" w:hanging="480"/>
        <w:rPr>
          <w:rFonts w:ascii="Calibri" w:hAnsi="Calibri"/>
          <w:lang w:val="es-ES"/>
        </w:rPr>
      </w:pPr>
      <w:r>
        <w:rPr>
          <w:rFonts w:ascii="Calibri" w:hAnsi="Calibri"/>
          <w:lang w:val="es-ES"/>
        </w:rPr>
        <w:t xml:space="preserve">Bôtto-Menezes C et al. 2016. Costs Associated with Malaria in Pregnancy in the Brazilian Amazon, a Low Endemic Area Where Plasmodium vivax Predominates.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10</w:t>
      </w:r>
      <w:r>
        <w:rPr>
          <w:rFonts w:ascii="Calibri" w:hAnsi="Calibri"/>
          <w:lang w:val="es-ES"/>
        </w:rPr>
        <w:t>(3): 1–19. Available from: http://dx.doi.org/10.1371/journal.pntd.0004494.</w:t>
      </w:r>
    </w:p>
    <w:p>
      <w:pPr>
        <w:pStyle w:val="Normal"/>
        <w:widowControl w:val="false"/>
        <w:spacing w:lineRule="auto" w:line="360"/>
        <w:ind w:left="480" w:hanging="480"/>
        <w:rPr>
          <w:rFonts w:ascii="Calibri" w:hAnsi="Calibri"/>
          <w:lang w:val="es-ES"/>
        </w:rPr>
      </w:pPr>
      <w:r>
        <w:rPr>
          <w:rFonts w:ascii="Calibri" w:hAnsi="Calibri"/>
          <w:lang w:val="es-ES"/>
        </w:rPr>
        <w:t xml:space="preserve">Botwright S et al. 2017. Experiences of operational costs of HPV vaccine delivery strategies in Gavi-supported demonstration projects. </w:t>
      </w:r>
      <w:r>
        <w:rPr>
          <w:rFonts w:ascii="Calibri" w:hAnsi="Calibri"/>
          <w:i/>
          <w:iCs/>
          <w:lang w:val="es-ES"/>
        </w:rPr>
        <w:t>PLoS ONE</w:t>
      </w:r>
      <w:r>
        <w:rPr>
          <w:rFonts w:ascii="Calibri" w:hAnsi="Calibri"/>
          <w:lang w:val="es-ES"/>
        </w:rPr>
        <w:t xml:space="preserve"> </w:t>
      </w:r>
      <w:r>
        <w:rPr>
          <w:rFonts w:ascii="Calibri" w:hAnsi="Calibri"/>
          <w:b/>
          <w:bCs/>
          <w:lang w:val="es-ES"/>
        </w:rPr>
        <w:t>12</w:t>
      </w:r>
      <w:r>
        <w:rPr>
          <w:rFonts w:ascii="Calibri" w:hAnsi="Calibri"/>
          <w:lang w:val="es-ES"/>
        </w:rPr>
        <w:t>(10): 1–13.</w:t>
      </w:r>
    </w:p>
    <w:p>
      <w:pPr>
        <w:pStyle w:val="Normal"/>
        <w:widowControl w:val="false"/>
        <w:spacing w:lineRule="auto" w:line="360"/>
        <w:ind w:left="480" w:hanging="480"/>
        <w:rPr>
          <w:rFonts w:ascii="Calibri" w:hAnsi="Calibri"/>
          <w:lang w:val="es-ES"/>
        </w:rPr>
      </w:pPr>
      <w:r>
        <w:rPr>
          <w:rFonts w:ascii="Calibri" w:hAnsi="Calibri"/>
          <w:lang w:val="es-ES"/>
        </w:rPr>
        <w:t xml:space="preserve">Brooks A et al. 2012. Implementing new health interventions in developing countries: why do we lose a decade or more? </w:t>
      </w:r>
      <w:r>
        <w:rPr>
          <w:rFonts w:ascii="Calibri" w:hAnsi="Calibri"/>
          <w:i/>
          <w:iCs/>
          <w:lang w:val="es-ES"/>
        </w:rPr>
        <w:t>BMC Public Health</w:t>
      </w:r>
      <w:r>
        <w:rPr>
          <w:rFonts w:ascii="Calibri" w:hAnsi="Calibri"/>
          <w:lang w:val="es-ES"/>
        </w:rPr>
        <w:t xml:space="preserve"> </w:t>
      </w:r>
      <w:r>
        <w:rPr>
          <w:rFonts w:ascii="Calibri" w:hAnsi="Calibri"/>
          <w:b/>
          <w:bCs/>
          <w:lang w:val="es-ES"/>
        </w:rPr>
        <w:t>12</w:t>
      </w:r>
      <w:r>
        <w:rPr>
          <w:rFonts w:ascii="Calibri" w:hAnsi="Calibri"/>
          <w:lang w:val="es-ES"/>
        </w:rPr>
        <w:t>(1): 683. Available from: http://bmcpublichealth.biomedcentral.com/articles/10.1186/1471-2458-12-683.</w:t>
      </w:r>
    </w:p>
    <w:p>
      <w:pPr>
        <w:pStyle w:val="Normal"/>
        <w:widowControl w:val="false"/>
        <w:spacing w:lineRule="auto" w:line="360"/>
        <w:ind w:left="480" w:hanging="480"/>
        <w:rPr>
          <w:rFonts w:ascii="Calibri" w:hAnsi="Calibri"/>
          <w:lang w:val="es-ES"/>
        </w:rPr>
      </w:pPr>
      <w:r>
        <w:rPr>
          <w:rFonts w:ascii="Calibri" w:hAnsi="Calibri"/>
          <w:lang w:val="es-ES"/>
        </w:rPr>
        <w:t xml:space="preserve">Brousselle A, Lessard C. 2011. Economic evaluation to inform health care decision-making: Promise, pitfalls and a proposal for an alternative path. </w:t>
      </w:r>
      <w:r>
        <w:rPr>
          <w:rFonts w:ascii="Calibri" w:hAnsi="Calibri"/>
          <w:i/>
          <w:iCs/>
          <w:lang w:val="es-ES"/>
        </w:rPr>
        <w:t>Social Science and Medicine</w:t>
      </w:r>
      <w:r>
        <w:rPr>
          <w:rFonts w:ascii="Calibri" w:hAnsi="Calibri"/>
          <w:lang w:val="es-ES"/>
        </w:rPr>
        <w:t xml:space="preserve"> </w:t>
      </w:r>
      <w:r>
        <w:rPr>
          <w:rFonts w:ascii="Calibri" w:hAnsi="Calibri"/>
          <w:b/>
          <w:bCs/>
          <w:lang w:val="es-ES"/>
        </w:rPr>
        <w:t>72</w:t>
      </w:r>
      <w:r>
        <w:rPr>
          <w:rFonts w:ascii="Calibri" w:hAnsi="Calibri"/>
          <w:lang w:val="es-ES"/>
        </w:rPr>
        <w:t>(6): 832–839. Available from: http://dx.doi.org/10.1016/j.socscimed.2011.01.008.</w:t>
      </w:r>
    </w:p>
    <w:p>
      <w:pPr>
        <w:pStyle w:val="Normal"/>
        <w:widowControl w:val="false"/>
        <w:spacing w:lineRule="auto" w:line="360"/>
        <w:ind w:left="480" w:hanging="480"/>
        <w:rPr>
          <w:rFonts w:ascii="Calibri" w:hAnsi="Calibri"/>
          <w:lang w:val="es-ES"/>
        </w:rPr>
      </w:pPr>
      <w:r>
        <w:rPr>
          <w:rFonts w:ascii="Calibri" w:hAnsi="Calibri"/>
          <w:lang w:val="es-ES"/>
        </w:rPr>
        <w:t xml:space="preserve">Bryer J. 2014. Black Parents’ Beliefs, Attitudes, and HPV Vaccine Intentions. </w:t>
      </w:r>
      <w:r>
        <w:rPr>
          <w:rFonts w:ascii="Calibri" w:hAnsi="Calibri"/>
          <w:i/>
          <w:iCs/>
          <w:lang w:val="es-ES"/>
        </w:rPr>
        <w:t>Clinical Nursing Research</w:t>
      </w:r>
      <w:r>
        <w:rPr>
          <w:rFonts w:ascii="Calibri" w:hAnsi="Calibri"/>
          <w:lang w:val="es-ES"/>
        </w:rPr>
        <w:t xml:space="preserve"> </w:t>
      </w:r>
      <w:r>
        <w:rPr>
          <w:rFonts w:ascii="Calibri" w:hAnsi="Calibri"/>
          <w:b/>
          <w:bCs/>
          <w:lang w:val="es-ES"/>
        </w:rPr>
        <w:t>23</w:t>
      </w:r>
      <w:r>
        <w:rPr>
          <w:rFonts w:ascii="Calibri" w:hAnsi="Calibri"/>
          <w:lang w:val="es-ES"/>
        </w:rPr>
        <w:t>(4): 369–383. Available from: http://journals.sagepub.com/doi/10.1177/1054773813487749.</w:t>
      </w:r>
    </w:p>
    <w:p>
      <w:pPr>
        <w:pStyle w:val="Normal"/>
        <w:widowControl w:val="false"/>
        <w:spacing w:lineRule="auto" w:line="360"/>
        <w:ind w:left="480" w:hanging="480"/>
        <w:rPr>
          <w:rFonts w:ascii="Calibri" w:hAnsi="Calibri"/>
          <w:lang w:val="es-ES"/>
        </w:rPr>
      </w:pPr>
      <w:r>
        <w:rPr>
          <w:rFonts w:ascii="Calibri" w:hAnsi="Calibri"/>
          <w:lang w:val="es-ES"/>
        </w:rPr>
        <w:t xml:space="preserve">Burza S et al. 2014. Five-Year Field Results and Long-Term Effectiveness of 20 mg/kg Liposomal Amphotericin B (Ambisome) for Visceral Leishmaniasis in Bihar, India.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8</w:t>
      </w:r>
      <w:r>
        <w:rPr>
          <w:rFonts w:ascii="Calibri" w:hAnsi="Calibri"/>
          <w:lang w:val="es-ES"/>
        </w:rPr>
        <w:t>(1): e2813.</w:t>
      </w:r>
    </w:p>
    <w:p>
      <w:pPr>
        <w:pStyle w:val="Normal"/>
        <w:widowControl w:val="false"/>
        <w:spacing w:lineRule="auto" w:line="360"/>
        <w:ind w:left="480" w:hanging="480"/>
        <w:rPr>
          <w:rFonts w:ascii="Calibri" w:hAnsi="Calibri"/>
          <w:lang w:val="es-ES"/>
        </w:rPr>
      </w:pPr>
      <w:r>
        <w:rPr>
          <w:rFonts w:ascii="Calibri" w:hAnsi="Calibri"/>
          <w:lang w:val="es-ES"/>
        </w:rPr>
        <w:t xml:space="preserve">de Carvalho IPSF et al. 2017. Cost of visceral leishmaniasis care in Brazil. </w:t>
      </w:r>
      <w:r>
        <w:rPr>
          <w:rFonts w:ascii="Calibri" w:hAnsi="Calibri"/>
          <w:i/>
          <w:iCs/>
          <w:lang w:val="es-ES"/>
        </w:rPr>
        <w:t>Trop Med Int Health</w:t>
      </w:r>
      <w:r>
        <w:rPr>
          <w:rFonts w:ascii="Calibri" w:hAnsi="Calibri"/>
          <w:lang w:val="es-ES"/>
        </w:rPr>
        <w:t xml:space="preserve"> </w:t>
      </w:r>
      <w:r>
        <w:rPr>
          <w:rFonts w:ascii="Calibri" w:hAnsi="Calibri"/>
          <w:b/>
          <w:bCs/>
          <w:lang w:val="es-ES"/>
        </w:rPr>
        <w:t>22</w:t>
      </w:r>
      <w:r>
        <w:rPr>
          <w:rFonts w:ascii="Calibri" w:hAnsi="Calibri"/>
          <w:lang w:val="es-ES"/>
        </w:rPr>
        <w:t>(12): 1579–1589.</w:t>
      </w:r>
    </w:p>
    <w:p>
      <w:pPr>
        <w:pStyle w:val="Normal"/>
        <w:widowControl w:val="false"/>
        <w:spacing w:lineRule="auto" w:line="360"/>
        <w:ind w:left="480" w:hanging="480"/>
        <w:rPr>
          <w:rFonts w:ascii="Calibri" w:hAnsi="Calibri"/>
          <w:lang w:val="es-ES"/>
        </w:rPr>
      </w:pPr>
      <w:r>
        <w:rPr>
          <w:rFonts w:ascii="Calibri" w:hAnsi="Calibri"/>
          <w:lang w:val="es-ES"/>
        </w:rPr>
        <w:t xml:space="preserve">Cascio A et al. 2002. Pediatric visceral leishmaniasis in Western Sicily, Italy: a retrospective analysis of 111 cases. </w:t>
      </w:r>
      <w:r>
        <w:rPr>
          <w:rFonts w:ascii="Calibri" w:hAnsi="Calibri"/>
          <w:i/>
          <w:iCs/>
          <w:lang w:val="es-ES"/>
        </w:rPr>
        <w:t>European Journal of Clinical Microbiology &amp; Infectious Diseases</w:t>
      </w:r>
      <w:r>
        <w:rPr>
          <w:rFonts w:ascii="Calibri" w:hAnsi="Calibri"/>
          <w:lang w:val="es-ES"/>
        </w:rPr>
        <w:t xml:space="preserve"> </w:t>
      </w:r>
      <w:r>
        <w:rPr>
          <w:rFonts w:ascii="Calibri" w:hAnsi="Calibri"/>
          <w:b/>
          <w:bCs/>
          <w:lang w:val="es-ES"/>
        </w:rPr>
        <w:t>21</w:t>
      </w:r>
      <w:r>
        <w:rPr>
          <w:rFonts w:ascii="Calibri" w:hAnsi="Calibri"/>
          <w:lang w:val="es-ES"/>
        </w:rPr>
        <w:t>(4): 277–82. Available from: http://link.springer.com/10.1007/s10096-002-0707-3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Chanda P et al. 2007. A cost-effectiveness analysis of artemether lumefantrine for treatment of uncomplicated malaria in Zambia. </w:t>
      </w:r>
      <w:r>
        <w:rPr>
          <w:rFonts w:ascii="Calibri" w:hAnsi="Calibri"/>
          <w:i/>
          <w:iCs/>
          <w:lang w:val="es-ES"/>
        </w:rPr>
        <w:t>Malaria Journal</w:t>
      </w:r>
      <w:r>
        <w:rPr>
          <w:rFonts w:ascii="Calibri" w:hAnsi="Calibri"/>
          <w:lang w:val="es-ES"/>
        </w:rPr>
        <w:t xml:space="preserve"> </w:t>
      </w:r>
      <w:r>
        <w:rPr>
          <w:rFonts w:ascii="Calibri" w:hAnsi="Calibri"/>
          <w:b/>
          <w:bCs/>
          <w:lang w:val="es-ES"/>
        </w:rPr>
        <w:t>6</w:t>
      </w:r>
      <w:r>
        <w:rPr>
          <w:rFonts w:ascii="Calibri" w:hAnsi="Calibri"/>
          <w:lang w:val="es-ES"/>
        </w:rPr>
        <w:t>(1): 21. Available from: http://malariajournal.biomedcentral.com/articles/10.1186/1475-2875-6-21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Chase C et al. 2009. Determinants of household demand for bed nets in a rural area of southern Mozambique.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 132. Available from: http://www.pubmedcentral.nih.gov/articlerender.fcgi?artid=2706254&amp;tool=pmcentrez&amp;rendertype=abstract [Accessed 9 December 2013].</w:t>
      </w:r>
    </w:p>
    <w:p>
      <w:pPr>
        <w:pStyle w:val="Normal"/>
        <w:widowControl w:val="false"/>
        <w:spacing w:lineRule="auto" w:line="360"/>
        <w:ind w:left="480" w:hanging="480"/>
        <w:rPr>
          <w:rFonts w:ascii="Calibri" w:hAnsi="Calibri"/>
          <w:lang w:val="es-ES"/>
        </w:rPr>
      </w:pPr>
      <w:r>
        <w:rPr>
          <w:rFonts w:ascii="Calibri" w:hAnsi="Calibri"/>
          <w:lang w:val="es-ES"/>
        </w:rPr>
        <w:t xml:space="preserve">Chatham House. 2014. Shared Responsibilities for Health A Coherent Global Framework for Health Financing Final Report of the Centre on Global Health Security Working Group on Health Financing. </w:t>
      </w:r>
      <w:r>
        <w:rPr>
          <w:rFonts w:ascii="Calibri" w:hAnsi="Calibri"/>
          <w:i/>
          <w:iCs/>
          <w:lang w:val="es-ES"/>
        </w:rPr>
        <w:t>The Royal Institute of International Affairs</w:t>
      </w:r>
      <w:r>
        <w:rPr>
          <w:rFonts w:ascii="Calibri" w:hAnsi="Calibri"/>
          <w:lang w:val="es-ES"/>
        </w:rPr>
        <w:t>: 1–57.</w:t>
      </w:r>
    </w:p>
    <w:p>
      <w:pPr>
        <w:pStyle w:val="Normal"/>
        <w:widowControl w:val="false"/>
        <w:spacing w:lineRule="auto" w:line="360"/>
        <w:ind w:left="480" w:hanging="480"/>
        <w:rPr>
          <w:rFonts w:ascii="Calibri" w:hAnsi="Calibri"/>
          <w:lang w:val="es-ES"/>
        </w:rPr>
      </w:pPr>
      <w:r>
        <w:rPr>
          <w:rFonts w:ascii="Calibri" w:hAnsi="Calibri"/>
          <w:lang w:val="es-ES"/>
        </w:rPr>
        <w:t xml:space="preserve">Chima RI et al. 2003. The economic impact of malaria in Africa: A critical review of the evidence. </w:t>
      </w:r>
      <w:r>
        <w:rPr>
          <w:rFonts w:ascii="Calibri" w:hAnsi="Calibri"/>
          <w:i/>
          <w:iCs/>
          <w:lang w:val="es-ES"/>
        </w:rPr>
        <w:t>Health Policy</w:t>
      </w:r>
      <w:r>
        <w:rPr>
          <w:rFonts w:ascii="Calibri" w:hAnsi="Calibri"/>
          <w:lang w:val="es-ES"/>
        </w:rPr>
        <w:t xml:space="preserve"> </w:t>
      </w:r>
      <w:r>
        <w:rPr>
          <w:rFonts w:ascii="Calibri" w:hAnsi="Calibri"/>
          <w:b/>
          <w:bCs/>
          <w:lang w:val="es-ES"/>
        </w:rPr>
        <w:t>63</w:t>
      </w:r>
      <w:r>
        <w:rPr>
          <w:rFonts w:ascii="Calibri" w:hAnsi="Calibri"/>
          <w:lang w:val="es-ES"/>
        </w:rPr>
        <w:t>(1): 17–36.</w:t>
      </w:r>
    </w:p>
    <w:p>
      <w:pPr>
        <w:pStyle w:val="Normal"/>
        <w:widowControl w:val="false"/>
        <w:spacing w:lineRule="auto" w:line="360"/>
        <w:ind w:left="480" w:hanging="480"/>
        <w:rPr>
          <w:rFonts w:ascii="Calibri" w:hAnsi="Calibri"/>
          <w:lang w:val="es-ES"/>
        </w:rPr>
      </w:pPr>
      <w:r>
        <w:rPr>
          <w:rFonts w:ascii="Calibri" w:hAnsi="Calibri"/>
          <w:lang w:val="es-ES"/>
        </w:rPr>
        <w:t xml:space="preserve">Chuma J et al. 2010. Barriers to prompt and effective malaria treatment among the poorest population in Kenya.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(1): 144. Available from: http://malariajournal.biomedcentral.com/articles/10.1186/1475-2875-9-144.</w:t>
      </w:r>
    </w:p>
    <w:p>
      <w:pPr>
        <w:pStyle w:val="Normal"/>
        <w:widowControl w:val="false"/>
        <w:spacing w:lineRule="auto" w:line="360"/>
        <w:ind w:left="480" w:hanging="480"/>
        <w:rPr>
          <w:rFonts w:ascii="Calibri" w:hAnsi="Calibri"/>
          <w:lang w:val="es-ES"/>
        </w:rPr>
      </w:pPr>
      <w:r>
        <w:rPr>
          <w:rFonts w:ascii="Calibri" w:hAnsi="Calibri"/>
          <w:lang w:val="es-ES"/>
        </w:rPr>
        <w:t xml:space="preserve">Cissé B et al. 2007. Progressivity and horizontal equity in health care finance and delivery: What about Africa? </w:t>
      </w:r>
      <w:r>
        <w:rPr>
          <w:rFonts w:ascii="Calibri" w:hAnsi="Calibri"/>
          <w:i/>
          <w:iCs/>
          <w:lang w:val="es-ES"/>
        </w:rPr>
        <w:t>Health Policy</w:t>
      </w:r>
      <w:r>
        <w:rPr>
          <w:rFonts w:ascii="Calibri" w:hAnsi="Calibri"/>
          <w:lang w:val="es-ES"/>
        </w:rPr>
        <w:t xml:space="preserve"> </w:t>
      </w:r>
      <w:r>
        <w:rPr>
          <w:rFonts w:ascii="Calibri" w:hAnsi="Calibri"/>
          <w:b/>
          <w:bCs/>
          <w:lang w:val="es-ES"/>
        </w:rPr>
        <w:t>80</w:t>
      </w:r>
      <w:r>
        <w:rPr>
          <w:rFonts w:ascii="Calibri" w:hAnsi="Calibri"/>
          <w:lang w:val="es-ES"/>
        </w:rPr>
        <w:t>(1): 51–68.</w:t>
      </w:r>
    </w:p>
    <w:p>
      <w:pPr>
        <w:pStyle w:val="Normal"/>
        <w:widowControl w:val="false"/>
        <w:spacing w:lineRule="auto" w:line="360"/>
        <w:ind w:left="480" w:hanging="480"/>
        <w:rPr>
          <w:rFonts w:ascii="Calibri" w:hAnsi="Calibri"/>
          <w:lang w:val="es-ES"/>
        </w:rPr>
      </w:pPr>
      <w:r>
        <w:rPr>
          <w:rFonts w:ascii="Calibri" w:hAnsi="Calibri"/>
          <w:lang w:val="es-ES"/>
        </w:rPr>
        <w:t xml:space="preserve">Cohen J et al. 2015. Price subsidies, diagnostic tests, and targeting of malaria treatment: Evidence from a randomized controlled trial. </w:t>
      </w:r>
      <w:r>
        <w:rPr>
          <w:rFonts w:ascii="Calibri" w:hAnsi="Calibri"/>
          <w:i/>
          <w:iCs/>
          <w:lang w:val="es-ES"/>
        </w:rPr>
        <w:t>American Economic Review</w:t>
      </w:r>
      <w:r>
        <w:rPr>
          <w:rFonts w:ascii="Calibri" w:hAnsi="Calibri"/>
          <w:lang w:val="es-ES"/>
        </w:rPr>
        <w:t xml:space="preserve"> </w:t>
      </w:r>
      <w:r>
        <w:rPr>
          <w:rFonts w:ascii="Calibri" w:hAnsi="Calibri"/>
          <w:b/>
          <w:bCs/>
          <w:lang w:val="es-ES"/>
        </w:rPr>
        <w:t>105</w:t>
      </w:r>
      <w:r>
        <w:rPr>
          <w:rFonts w:ascii="Calibri" w:hAnsi="Calibri"/>
          <w:lang w:val="es-ES"/>
        </w:rPr>
        <w:t>(2): 609–645.</w:t>
      </w:r>
    </w:p>
    <w:p>
      <w:pPr>
        <w:pStyle w:val="Normal"/>
        <w:widowControl w:val="false"/>
        <w:spacing w:lineRule="auto" w:line="360"/>
        <w:ind w:left="480" w:hanging="480"/>
        <w:rPr>
          <w:rFonts w:ascii="Calibri" w:hAnsi="Calibri"/>
          <w:lang w:val="es-ES"/>
        </w:rPr>
      </w:pPr>
      <w:r>
        <w:rPr>
          <w:rFonts w:ascii="Calibri" w:hAnsi="Calibri"/>
          <w:lang w:val="es-ES"/>
        </w:rPr>
        <w:t xml:space="preserve">Conteh L et al. 2004. The cost and cost-effectiveness of malaria vector control by residual insecticide house-spraying in southern Mozambique: a rural and urban analysis. </w:t>
      </w:r>
      <w:r>
        <w:rPr>
          <w:rFonts w:ascii="Calibri" w:hAnsi="Calibri"/>
          <w:i/>
          <w:iCs/>
          <w:lang w:val="es-ES"/>
        </w:rPr>
        <w:t>Trop Med Int Health</w:t>
      </w:r>
      <w:r>
        <w:rPr>
          <w:rFonts w:ascii="Calibri" w:hAnsi="Calibri"/>
          <w:lang w:val="es-ES"/>
        </w:rPr>
        <w:t xml:space="preserve"> </w:t>
      </w:r>
      <w:r>
        <w:rPr>
          <w:rFonts w:ascii="Calibri" w:hAnsi="Calibri"/>
          <w:b/>
          <w:bCs/>
          <w:lang w:val="es-ES"/>
        </w:rPr>
        <w:t>9</w:t>
      </w:r>
      <w:r>
        <w:rPr>
          <w:rFonts w:ascii="Calibri" w:hAnsi="Calibri"/>
          <w:lang w:val="es-ES"/>
        </w:rPr>
        <w:t>. Available from: http://dx.doi.org/10.1046/j.1365-3156.2003.01150.x.</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2016. Socio-Economic Inequalities in Health Care in England. </w:t>
      </w:r>
      <w:r>
        <w:rPr>
          <w:rFonts w:ascii="Calibri" w:hAnsi="Calibri"/>
          <w:i/>
          <w:iCs/>
          <w:lang w:val="es-ES"/>
        </w:rPr>
        <w:t>Fiscal Studies</w:t>
      </w:r>
      <w:r>
        <w:rPr>
          <w:rFonts w:ascii="Calibri" w:hAnsi="Calibri"/>
          <w:lang w:val="es-ES"/>
        </w:rPr>
        <w:t xml:space="preserve"> </w:t>
      </w:r>
      <w:r>
        <w:rPr>
          <w:rFonts w:ascii="Calibri" w:hAnsi="Calibri"/>
          <w:b/>
          <w:bCs/>
          <w:lang w:val="es-ES"/>
        </w:rPr>
        <w:t>37</w:t>
      </w:r>
      <w:r>
        <w:rPr>
          <w:rFonts w:ascii="Calibri" w:hAnsi="Calibri"/>
          <w:lang w:val="es-ES"/>
        </w:rPr>
        <w:t>(3–4): 371–403.</w:t>
      </w:r>
    </w:p>
    <w:p>
      <w:pPr>
        <w:pStyle w:val="Normal"/>
        <w:widowControl w:val="false"/>
        <w:spacing w:lineRule="auto" w:line="360"/>
        <w:ind w:left="480" w:hanging="480"/>
        <w:rPr>
          <w:rFonts w:ascii="Calibri" w:hAnsi="Calibri"/>
          <w:lang w:val="es-ES"/>
        </w:rPr>
      </w:pPr>
      <w:r>
        <w:rPr>
          <w:rFonts w:ascii="Calibri" w:hAnsi="Calibri"/>
          <w:lang w:val="es-ES"/>
        </w:rPr>
        <w:t xml:space="preserve">Cookson R et al. 2017. Using Cost-Effectiveness Analysis to Address Health Equity Concerns. </w:t>
      </w:r>
      <w:r>
        <w:rPr>
          <w:rFonts w:ascii="Calibri" w:hAnsi="Calibri"/>
          <w:i/>
          <w:iCs/>
          <w:lang w:val="es-ES"/>
        </w:rPr>
        <w:t>Value in Health</w:t>
      </w:r>
      <w:r>
        <w:rPr>
          <w:rFonts w:ascii="Calibri" w:hAnsi="Calibri"/>
          <w:lang w:val="es-ES"/>
        </w:rPr>
        <w:t xml:space="preserve"> </w:t>
      </w:r>
      <w:r>
        <w:rPr>
          <w:rFonts w:ascii="Calibri" w:hAnsi="Calibri"/>
          <w:b/>
          <w:bCs/>
          <w:lang w:val="es-ES"/>
        </w:rPr>
        <w:t>20</w:t>
      </w:r>
      <w:r>
        <w:rPr>
          <w:rFonts w:ascii="Calibri" w:hAnsi="Calibri"/>
          <w:lang w:val="es-ES"/>
        </w:rPr>
        <w:t>(2): 206–212. Available from: http://www.ncbi.nlm.nih.gov/pubmed/28237196 [Accessed 27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Costa-font J, Hernández-Quevedo C. 2012. Measuring inequalities in health: What do we know? What do we need to know? </w:t>
      </w:r>
      <w:r>
        <w:rPr>
          <w:rFonts w:ascii="Calibri" w:hAnsi="Calibri"/>
          <w:i/>
          <w:iCs/>
          <w:lang w:val="es-ES"/>
        </w:rPr>
        <w:t>Health Policy</w:t>
      </w:r>
      <w:r>
        <w:rPr>
          <w:rFonts w:ascii="Calibri" w:hAnsi="Calibri"/>
          <w:lang w:val="es-ES"/>
        </w:rPr>
        <w:t xml:space="preserve"> </w:t>
      </w:r>
      <w:r>
        <w:rPr>
          <w:rFonts w:ascii="Calibri" w:hAnsi="Calibri"/>
          <w:b/>
          <w:bCs/>
          <w:lang w:val="es-ES"/>
        </w:rPr>
        <w:t>106</w:t>
      </w:r>
      <w:r>
        <w:rPr>
          <w:rFonts w:ascii="Calibri" w:hAnsi="Calibri"/>
          <w:lang w:val="es-ES"/>
        </w:rPr>
        <w:t>(2): 195–206. Available from: http://dx.doi.org/10.1016/j.healthpol.2012.04.007.</w:t>
      </w:r>
    </w:p>
    <w:p>
      <w:pPr>
        <w:pStyle w:val="Normal"/>
        <w:widowControl w:val="false"/>
        <w:spacing w:lineRule="auto" w:line="360"/>
        <w:ind w:left="480" w:hanging="480"/>
        <w:rPr>
          <w:rFonts w:ascii="Calibri" w:hAnsi="Calibri"/>
          <w:lang w:val="es-ES"/>
        </w:rPr>
      </w:pPr>
      <w:r>
        <w:rPr>
          <w:rFonts w:ascii="Calibri" w:hAnsi="Calibri"/>
          <w:lang w:val="es-ES"/>
        </w:rPr>
        <w:t xml:space="preserve">Cropper ML et al. 2004. The demand for a malaria vaccine: evidence from Ethiopia. </w:t>
      </w:r>
      <w:r>
        <w:rPr>
          <w:rFonts w:ascii="Calibri" w:hAnsi="Calibri"/>
          <w:i/>
          <w:iCs/>
          <w:lang w:val="es-ES"/>
        </w:rPr>
        <w:t>Journal of Development Economics</w:t>
      </w:r>
      <w:r>
        <w:rPr>
          <w:rFonts w:ascii="Calibri" w:hAnsi="Calibri"/>
          <w:lang w:val="es-ES"/>
        </w:rPr>
        <w:t xml:space="preserve"> </w:t>
      </w:r>
      <w:r>
        <w:rPr>
          <w:rFonts w:ascii="Calibri" w:hAnsi="Calibri"/>
          <w:b/>
          <w:bCs/>
          <w:lang w:val="es-ES"/>
        </w:rPr>
        <w:t>75</w:t>
      </w:r>
      <w:r>
        <w:rPr>
          <w:rFonts w:ascii="Calibri" w:hAnsi="Calibri"/>
          <w:lang w:val="es-ES"/>
        </w:rPr>
        <w:t>(1): 303–318. Available from: http://linkinghub.elsevier.com/retrieve/pii/S0304387804000525 [Accessed 21 May 2014].</w:t>
      </w:r>
    </w:p>
    <w:p>
      <w:pPr>
        <w:pStyle w:val="Normal"/>
        <w:widowControl w:val="false"/>
        <w:spacing w:lineRule="auto" w:line="360"/>
        <w:ind w:left="480" w:hanging="480"/>
        <w:rPr>
          <w:rFonts w:ascii="Calibri" w:hAnsi="Calibri"/>
          <w:lang w:val="es-ES"/>
        </w:rPr>
      </w:pPr>
      <w:r>
        <w:rPr>
          <w:rFonts w:ascii="Calibri" w:hAnsi="Calibri"/>
          <w:lang w:val="es-ES"/>
        </w:rPr>
        <w:t xml:space="preserve">Cutler D et al. 2010. Early-life Malaria Exposure and Adult Outcomes: Evidence from Malaria Eradication in India.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72–94. Available from: http://pubs.aeaweb.org/doi/abs/10.1257/app.2.2.72 [Accessed 7 November 2013].</w:t>
      </w:r>
    </w:p>
    <w:p>
      <w:pPr>
        <w:pStyle w:val="Normal"/>
        <w:widowControl w:val="false"/>
        <w:spacing w:lineRule="auto" w:line="360"/>
        <w:ind w:left="480" w:hanging="480"/>
        <w:rPr>
          <w:rFonts w:ascii="Calibri" w:hAnsi="Calibri"/>
          <w:lang w:val="es-ES"/>
        </w:rPr>
      </w:pPr>
      <w:r>
        <w:rPr>
          <w:rFonts w:ascii="Calibri" w:hAnsi="Calibri"/>
          <w:lang w:val="es-ES"/>
        </w:rPr>
        <w:t xml:space="preserve">D ’alessandro U et al. 2018. Series Malaria in pregnancy 3 Treatment of uncomplicated and severe malaria during pregnancy. </w:t>
      </w:r>
      <w:r>
        <w:rPr>
          <w:rFonts w:ascii="Calibri" w:hAnsi="Calibri"/>
          <w:i/>
          <w:iCs/>
          <w:lang w:val="es-ES"/>
        </w:rPr>
        <w:t>The Lancet Infectious Diseases</w:t>
      </w:r>
      <w:r>
        <w:rPr>
          <w:rFonts w:ascii="Calibri" w:hAnsi="Calibri"/>
          <w:lang w:val="es-ES"/>
        </w:rPr>
        <w:t xml:space="preserve"> </w:t>
      </w:r>
      <w:r>
        <w:rPr>
          <w:rFonts w:ascii="Calibri" w:hAnsi="Calibri"/>
          <w:b/>
          <w:bCs/>
          <w:lang w:val="es-ES"/>
        </w:rPr>
        <w:t>2</w:t>
      </w:r>
      <w:r>
        <w:rPr>
          <w:rFonts w:ascii="Calibri" w:hAnsi="Calibri"/>
          <w:lang w:val="es-ES"/>
        </w:rPr>
        <w:t>(18). Available from: www.thelancet.com/infection.</w:t>
      </w:r>
    </w:p>
    <w:p>
      <w:pPr>
        <w:pStyle w:val="Normal"/>
        <w:widowControl w:val="false"/>
        <w:spacing w:lineRule="auto" w:line="360"/>
        <w:ind w:left="480" w:hanging="480"/>
        <w:rPr>
          <w:rFonts w:ascii="Calibri" w:hAnsi="Calibri"/>
          <w:lang w:val="es-ES"/>
        </w:rPr>
      </w:pPr>
      <w:r>
        <w:rPr>
          <w:rFonts w:ascii="Calibri" w:hAnsi="Calibri"/>
          <w:lang w:val="es-ES"/>
        </w:rPr>
        <w:t xml:space="preserve">Dang HA et al. 2013. International aid and financial crises in donor countries. </w:t>
      </w:r>
      <w:r>
        <w:rPr>
          <w:rFonts w:ascii="Calibri" w:hAnsi="Calibri"/>
          <w:i/>
          <w:iCs/>
          <w:lang w:val="es-ES"/>
        </w:rPr>
        <w:t>European Journal of Political Economy</w:t>
      </w:r>
      <w:r>
        <w:rPr>
          <w:rFonts w:ascii="Calibri" w:hAnsi="Calibri"/>
          <w:lang w:val="es-ES"/>
        </w:rPr>
        <w:t xml:space="preserve"> </w:t>
      </w:r>
      <w:r>
        <w:rPr>
          <w:rFonts w:ascii="Calibri" w:hAnsi="Calibri"/>
          <w:b/>
          <w:bCs/>
          <w:lang w:val="es-ES"/>
        </w:rPr>
        <w:t>32</w:t>
      </w:r>
      <w:r>
        <w:rPr>
          <w:rFonts w:ascii="Calibri" w:hAnsi="Calibri"/>
          <w:lang w:val="es-ES"/>
        </w:rPr>
        <w:t>: 232–250. Available from: http://dx.doi.org/10.1016/j.ejpoleco.2013.08.003.</w:t>
      </w:r>
    </w:p>
    <w:p>
      <w:pPr>
        <w:pStyle w:val="Normal"/>
        <w:widowControl w:val="false"/>
        <w:spacing w:lineRule="auto" w:line="360"/>
        <w:ind w:left="480" w:hanging="480"/>
        <w:rPr>
          <w:rFonts w:ascii="Calibri" w:hAnsi="Calibri"/>
          <w:lang w:val="es-ES"/>
        </w:rPr>
      </w:pPr>
      <w:r>
        <w:rPr>
          <w:rFonts w:ascii="Calibri" w:hAnsi="Calibri"/>
          <w:lang w:val="es-ES"/>
        </w:rPr>
        <w:t xml:space="preserve">Danzon P et al. 2015. Pharmaceutical pricing in emerging markets: effects of income, competition, and procurement. </w:t>
      </w:r>
      <w:r>
        <w:rPr>
          <w:rFonts w:ascii="Calibri" w:hAnsi="Calibri"/>
          <w:i/>
          <w:iCs/>
          <w:lang w:val="es-ES"/>
        </w:rPr>
        <w:t>Health Economics</w:t>
      </w:r>
      <w:r>
        <w:rPr>
          <w:rFonts w:ascii="Calibri" w:hAnsi="Calibri"/>
          <w:lang w:val="es-ES"/>
        </w:rPr>
        <w:t xml:space="preserve"> </w:t>
      </w:r>
      <w:r>
        <w:rPr>
          <w:rFonts w:ascii="Calibri" w:hAnsi="Calibri"/>
          <w:b/>
          <w:bCs/>
          <w:lang w:val="es-ES"/>
        </w:rPr>
        <w:t>24</w:t>
      </w:r>
      <w:r>
        <w:rPr>
          <w:rFonts w:ascii="Calibri" w:hAnsi="Calibri"/>
          <w:lang w:val="es-ES"/>
        </w:rPr>
        <w:t>: 238–252.</w:t>
      </w:r>
    </w:p>
    <w:p>
      <w:pPr>
        <w:pStyle w:val="Normal"/>
        <w:widowControl w:val="false"/>
        <w:spacing w:lineRule="auto" w:line="360"/>
        <w:ind w:left="480" w:hanging="480"/>
        <w:rPr>
          <w:rFonts w:ascii="Calibri" w:hAnsi="Calibri"/>
          <w:lang w:val="es-ES"/>
        </w:rPr>
      </w:pPr>
      <w:r>
        <w:rPr>
          <w:rFonts w:ascii="Calibri" w:hAnsi="Calibri"/>
          <w:lang w:val="es-ES"/>
        </w:rPr>
        <w:t xml:space="preserve">Das M et al. 2008. Visceral leishmaniasis on the Indian sub-continent: a multi-centre study of the costs of three interventions for the control of the sandfly vector, </w:t>
      </w:r>
      <w:r>
        <w:rPr>
          <w:rFonts w:ascii="Calibri" w:hAnsi="Calibri"/>
          <w:i/>
          <w:iCs/>
          <w:lang w:val="es-ES"/>
        </w:rPr>
        <w:t>Phlebotomus argentipes</w:t>
      </w:r>
      <w:r>
        <w:rPr>
          <w:rFonts w:ascii="Calibri" w:hAnsi="Calibri"/>
          <w:lang w:val="es-ES"/>
        </w:rPr>
        <w:t xml:space="preserve">. </w:t>
      </w:r>
      <w:r>
        <w:rPr>
          <w:rFonts w:ascii="Calibri" w:hAnsi="Calibri"/>
          <w:i/>
          <w:iCs/>
          <w:lang w:val="es-ES"/>
        </w:rPr>
        <w:t>Annals of Tropical Medicine &amp; Parasitology</w:t>
      </w:r>
      <w:r>
        <w:rPr>
          <w:rFonts w:ascii="Calibri" w:hAnsi="Calibri"/>
          <w:lang w:val="es-ES"/>
        </w:rPr>
        <w:t xml:space="preserve"> </w:t>
      </w:r>
      <w:r>
        <w:rPr>
          <w:rFonts w:ascii="Calibri" w:hAnsi="Calibri"/>
          <w:b/>
          <w:bCs/>
          <w:lang w:val="es-ES"/>
        </w:rPr>
        <w:t>102</w:t>
      </w:r>
      <w:r>
        <w:rPr>
          <w:rFonts w:ascii="Calibri" w:hAnsi="Calibri"/>
          <w:lang w:val="es-ES"/>
        </w:rPr>
        <w:t>(8): 729–741. Available from: http://www.tandfonline.com/doi/full/10.1179/136485908X355274.</w:t>
      </w:r>
    </w:p>
    <w:p>
      <w:pPr>
        <w:pStyle w:val="Normal"/>
        <w:widowControl w:val="false"/>
        <w:spacing w:lineRule="auto" w:line="360"/>
        <w:ind w:left="480" w:hanging="480"/>
        <w:rPr>
          <w:rFonts w:ascii="Calibri" w:hAnsi="Calibri"/>
          <w:lang w:val="es-ES"/>
        </w:rPr>
      </w:pPr>
      <w:r>
        <w:rPr>
          <w:rFonts w:ascii="Calibri" w:hAnsi="Calibri"/>
          <w:lang w:val="es-ES"/>
        </w:rPr>
        <w:t xml:space="preserve">Dave D, Kaestner R. 2009. Health insurance and ex ante moral hazard: Evidence from Medicare. </w:t>
      </w:r>
      <w:r>
        <w:rPr>
          <w:rFonts w:ascii="Calibri" w:hAnsi="Calibri"/>
          <w:i/>
          <w:iCs/>
          <w:lang w:val="es-ES"/>
        </w:rPr>
        <w:t>International Journal of Health Care Finance and Economics</w:t>
      </w:r>
      <w:r>
        <w:rPr>
          <w:rFonts w:ascii="Calibri" w:hAnsi="Calibri"/>
          <w:lang w:val="es-ES"/>
        </w:rPr>
        <w:t xml:space="preserve"> </w:t>
      </w:r>
      <w:r>
        <w:rPr>
          <w:rFonts w:ascii="Calibri" w:hAnsi="Calibri"/>
          <w:b/>
          <w:bCs/>
          <w:lang w:val="es-ES"/>
        </w:rPr>
        <w:t>9</w:t>
      </w:r>
      <w:r>
        <w:rPr>
          <w:rFonts w:ascii="Calibri" w:hAnsi="Calibri"/>
          <w:lang w:val="es-ES"/>
        </w:rPr>
        <w:t>(4): 367–390.</w:t>
      </w:r>
    </w:p>
    <w:p>
      <w:pPr>
        <w:pStyle w:val="Normal"/>
        <w:widowControl w:val="false"/>
        <w:spacing w:lineRule="auto" w:line="360"/>
        <w:ind w:left="480" w:hanging="480"/>
        <w:rPr>
          <w:rFonts w:ascii="Calibri" w:hAnsi="Calibri"/>
          <w:lang w:val="es-ES"/>
        </w:rPr>
      </w:pPr>
      <w:r>
        <w:rPr>
          <w:rFonts w:ascii="Calibri" w:hAnsi="Calibri"/>
          <w:lang w:val="es-ES"/>
        </w:rPr>
        <w:t xml:space="preserve">Deaton AS, Tortora R. 2015. People in Sub-Saharan Africa rate their health and health care among lowest in world. </w:t>
      </w:r>
      <w:r>
        <w:rPr>
          <w:rFonts w:ascii="Calibri" w:hAnsi="Calibri"/>
          <w:i/>
          <w:iCs/>
          <w:lang w:val="es-ES"/>
        </w:rPr>
        <w:t>Health Aff (Millwood)</w:t>
      </w:r>
      <w:r>
        <w:rPr>
          <w:rFonts w:ascii="Calibri" w:hAnsi="Calibri"/>
          <w:lang w:val="es-ES"/>
        </w:rPr>
        <w:t xml:space="preserve"> </w:t>
      </w:r>
      <w:r>
        <w:rPr>
          <w:rFonts w:ascii="Calibri" w:hAnsi="Calibri"/>
          <w:b/>
          <w:bCs/>
          <w:lang w:val="es-ES"/>
        </w:rPr>
        <w:t>34</w:t>
      </w:r>
      <w:r>
        <w:rPr>
          <w:rFonts w:ascii="Calibri" w:hAnsi="Calibri"/>
          <w:lang w:val="es-ES"/>
        </w:rPr>
        <w:t>(3): 519–527.</w:t>
      </w:r>
    </w:p>
    <w:p>
      <w:pPr>
        <w:pStyle w:val="Normal"/>
        <w:widowControl w:val="false"/>
        <w:spacing w:lineRule="auto" w:line="360"/>
        <w:ind w:left="480" w:hanging="480"/>
        <w:rPr>
          <w:rFonts w:ascii="Calibri" w:hAnsi="Calibri"/>
          <w:lang w:val="es-ES"/>
        </w:rPr>
      </w:pPr>
      <w:r>
        <w:rPr>
          <w:rFonts w:ascii="Calibri" w:hAnsi="Calibri"/>
          <w:lang w:val="es-ES"/>
        </w:rPr>
        <w:t xml:space="preserve">Desai M et al. 2018. Series Malaria in pregnancy 2 Prevention of malaria in pregnancy. </w:t>
      </w:r>
      <w:r>
        <w:rPr>
          <w:rFonts w:ascii="Calibri" w:hAnsi="Calibri"/>
          <w:i/>
          <w:iCs/>
          <w:lang w:val="es-ES"/>
        </w:rPr>
        <w:t>Lancet Infect Dis</w:t>
      </w:r>
      <w:r>
        <w:rPr>
          <w:rFonts w:ascii="Calibri" w:hAnsi="Calibri"/>
          <w:lang w:val="es-ES"/>
        </w:rPr>
        <w:t xml:space="preserve"> </w:t>
      </w:r>
      <w:r>
        <w:rPr>
          <w:rFonts w:ascii="Calibri" w:hAnsi="Calibri"/>
          <w:b/>
          <w:bCs/>
          <w:lang w:val="es-ES"/>
        </w:rPr>
        <w:t>3099</w:t>
      </w:r>
      <w:r>
        <w:rPr>
          <w:rFonts w:ascii="Calibri" w:hAnsi="Calibri"/>
          <w:lang w:val="es-ES"/>
        </w:rPr>
        <w:t>(18): 1–14. Available from: www.thelancet.com/infection%0Ahttp://dx.doi.org/10.1016/.</w:t>
      </w:r>
    </w:p>
    <w:p>
      <w:pPr>
        <w:pStyle w:val="Normal"/>
        <w:widowControl w:val="false"/>
        <w:spacing w:lineRule="auto" w:line="360"/>
        <w:ind w:left="480" w:hanging="480"/>
        <w:rPr>
          <w:rFonts w:ascii="Calibri" w:hAnsi="Calibri"/>
          <w:lang w:val="es-ES"/>
        </w:rPr>
      </w:pPr>
      <w:r>
        <w:rPr>
          <w:rFonts w:ascii="Calibri" w:hAnsi="Calibri"/>
          <w:lang w:val="es-ES"/>
        </w:rPr>
        <w:t xml:space="preserve">Dieleman JL, Haakenstad A. 2017. Global health financing and the need for a data revolution.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121–124. Available from: https://www.cambridge.org/core/product/identifier/S1744133116000402/type/journal_article.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Dinar Y, Belahsen R. 2014. Diabetes Mellitus in Morocco: Situation and Challenges of Diabetes Care. </w:t>
      </w:r>
      <w:r>
        <w:rPr>
          <w:rFonts w:ascii="Calibri" w:hAnsi="Calibri"/>
          <w:i/>
          <w:iCs/>
          <w:lang w:val="es-ES"/>
        </w:rPr>
        <w:t>Journal of Scientific Research &amp; Reports</w:t>
      </w:r>
      <w:r>
        <w:rPr>
          <w:rFonts w:ascii="Calibri" w:hAnsi="Calibri"/>
          <w:lang w:val="es-ES"/>
        </w:rPr>
        <w:t xml:space="preserve"> </w:t>
      </w:r>
      <w:r>
        <w:rPr>
          <w:rFonts w:ascii="Calibri" w:hAnsi="Calibri"/>
          <w:b/>
          <w:bCs/>
          <w:lang w:val="es-ES"/>
        </w:rPr>
        <w:t>319</w:t>
      </w:r>
      <w:r>
        <w:rPr>
          <w:rFonts w:ascii="Calibri" w:hAnsi="Calibri"/>
          <w:lang w:val="es-ES"/>
        </w:rPr>
        <w:t>(19): 2477–2485. Available from: https://www.researchgate.net/profile/REKIA_BELAHSEN/publication/271314685_Diabetes_Mellitus_in_Morocco_Situation_and_Challenges_of_Diabetes_Care/links/563358e408ae242468db98cc.pdf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van Doorslaer E, O’Donnell O. 2011. </w:t>
      </w:r>
      <w:r>
        <w:rPr>
          <w:rFonts w:ascii="Calibri" w:hAnsi="Calibri"/>
          <w:i/>
          <w:iCs/>
          <w:lang w:val="es-ES"/>
        </w:rPr>
        <w:t>Measurement and Explanation of Inequality in Health and Health Care in Low-Income Settings</w:t>
      </w:r>
      <w:r>
        <w:rPr>
          <w:rFonts w:ascii="Calibri" w:hAnsi="Calibri"/>
          <w:lang w:val="es-ES"/>
        </w:rPr>
        <w:t>. Discussion Paper No. 2008/04. UNU-WIDER. Available from: http://link.springer.com/10.1057/9780230304673_2.</w:t>
      </w:r>
    </w:p>
    <w:p>
      <w:pPr>
        <w:pStyle w:val="Normal"/>
        <w:widowControl w:val="false"/>
        <w:spacing w:lineRule="auto" w:line="360"/>
        <w:ind w:left="480" w:hanging="480"/>
        <w:rPr>
          <w:rFonts w:ascii="Calibri" w:hAnsi="Calibri"/>
          <w:lang w:val="es-ES"/>
        </w:rPr>
      </w:pPr>
      <w:r>
        <w:rPr>
          <w:rFonts w:ascii="Calibri" w:hAnsi="Calibri"/>
          <w:lang w:val="es-ES"/>
        </w:rPr>
        <w:t xml:space="preserve">Dupas P. 2011. Health Behavior in Developing Countries. </w:t>
      </w:r>
      <w:r>
        <w:rPr>
          <w:rFonts w:ascii="Calibri" w:hAnsi="Calibri"/>
          <w:i/>
          <w:iCs/>
          <w:lang w:val="es-ES"/>
        </w:rPr>
        <w:t>Annual Review of Economics</w:t>
      </w:r>
      <w:r>
        <w:rPr>
          <w:rFonts w:ascii="Calibri" w:hAnsi="Calibri"/>
          <w:lang w:val="es-ES"/>
        </w:rPr>
        <w:t xml:space="preserve"> </w:t>
      </w:r>
      <w:r>
        <w:rPr>
          <w:rFonts w:ascii="Calibri" w:hAnsi="Calibri"/>
          <w:b/>
          <w:bCs/>
          <w:lang w:val="es-ES"/>
        </w:rPr>
        <w:t>3</w:t>
      </w:r>
      <w:r>
        <w:rPr>
          <w:rFonts w:ascii="Calibri" w:hAnsi="Calibri"/>
          <w:lang w:val="es-ES"/>
        </w:rPr>
        <w:t>: 1–39.</w:t>
      </w:r>
    </w:p>
    <w:p>
      <w:pPr>
        <w:pStyle w:val="Normal"/>
        <w:widowControl w:val="false"/>
        <w:spacing w:lineRule="auto" w:line="360"/>
        <w:ind w:left="480" w:hanging="480"/>
        <w:rPr>
          <w:rFonts w:ascii="Calibri" w:hAnsi="Calibri"/>
          <w:lang w:val="es-ES"/>
        </w:rPr>
      </w:pPr>
      <w:r>
        <w:rPr>
          <w:rFonts w:ascii="Calibri" w:hAnsi="Calibri"/>
          <w:lang w:val="es-ES"/>
        </w:rPr>
        <w:t xml:space="preserve">Dye C. 2015. After 2015 : infectious diseases in a new era of health and development After 2015 : infectious diseases in a new era of health and development. </w:t>
      </w:r>
      <w:r>
        <w:rPr>
          <w:rFonts w:ascii="Calibri" w:hAnsi="Calibri"/>
          <w:i/>
          <w:iCs/>
          <w:lang w:val="es-ES"/>
        </w:rPr>
        <w:t>Philosophical Transactions of The Royal Society B</w:t>
      </w:r>
      <w:r>
        <w:rPr>
          <w:rFonts w:ascii="Calibri" w:hAnsi="Calibri"/>
          <w:lang w:val="es-ES"/>
        </w:rPr>
        <w:t xml:space="preserve"> </w:t>
      </w:r>
      <w:r>
        <w:rPr>
          <w:rFonts w:ascii="Calibri" w:hAnsi="Calibri"/>
          <w:b/>
          <w:bCs/>
          <w:lang w:val="es-ES"/>
        </w:rPr>
        <w:t>369</w:t>
      </w:r>
      <w:r>
        <w:rPr>
          <w:rFonts w:ascii="Calibri" w:hAnsi="Calibri"/>
          <w:lang w:val="es-ES"/>
        </w:rPr>
        <w:t>(20130426).</w:t>
      </w:r>
    </w:p>
    <w:p>
      <w:pPr>
        <w:pStyle w:val="Normal"/>
        <w:widowControl w:val="false"/>
        <w:spacing w:lineRule="auto" w:line="360"/>
        <w:ind w:left="480" w:hanging="480"/>
        <w:rPr>
          <w:rFonts w:ascii="Calibri" w:hAnsi="Calibri"/>
          <w:lang w:val="es-ES"/>
        </w:rPr>
      </w:pPr>
      <w:r>
        <w:rPr>
          <w:rFonts w:ascii="Calibri" w:hAnsi="Calibri"/>
          <w:lang w:val="es-ES"/>
        </w:rPr>
        <w:t xml:space="preserve">Escobar M-L et al. 2010. </w:t>
      </w:r>
      <w:r>
        <w:rPr>
          <w:rFonts w:ascii="Calibri" w:hAnsi="Calibri"/>
          <w:i/>
          <w:iCs/>
          <w:lang w:val="es-ES"/>
        </w:rPr>
        <w:t>The Impact of Health Insurance in Low- and Middle-Income Countries</w:t>
      </w:r>
      <w:r>
        <w:rPr>
          <w:rFonts w:ascii="Calibri" w:hAnsi="Calibri"/>
          <w:lang w:val="es-ES"/>
        </w:rPr>
        <w:t>. Brookings Institution Press: Washington DC.</w:t>
      </w:r>
    </w:p>
    <w:p>
      <w:pPr>
        <w:pStyle w:val="Normal"/>
        <w:widowControl w:val="false"/>
        <w:spacing w:lineRule="auto" w:line="360"/>
        <w:ind w:left="480" w:hanging="480"/>
        <w:rPr>
          <w:rFonts w:ascii="Calibri" w:hAnsi="Calibri"/>
          <w:lang w:val="es-ES"/>
        </w:rPr>
      </w:pPr>
      <w:r>
        <w:rPr>
          <w:rFonts w:ascii="Calibri" w:hAnsi="Calibri"/>
          <w:lang w:val="es-ES"/>
        </w:rPr>
        <w:t xml:space="preserve">Farlow AWK. 2016. The economics of global health: an assessment.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1–20. Available from: https://academic.oup.com/oxrep/article-lookup/doi/10.1093/oxrep/grw002.</w:t>
      </w:r>
    </w:p>
    <w:p>
      <w:pPr>
        <w:pStyle w:val="Normal"/>
        <w:widowControl w:val="false"/>
        <w:spacing w:lineRule="auto" w:line="360"/>
        <w:ind w:left="480" w:hanging="480"/>
        <w:rPr>
          <w:rFonts w:ascii="Calibri" w:hAnsi="Calibri"/>
          <w:lang w:val="es-ES"/>
        </w:rPr>
      </w:pPr>
      <w:r>
        <w:rPr>
          <w:rFonts w:ascii="Calibri" w:hAnsi="Calibri"/>
          <w:lang w:val="es-ES"/>
        </w:rPr>
        <w:t>FIND. 2017. https://www.finddx.org. Available from: https://www.finddx.org [Accessed 4 December 2017].</w:t>
      </w:r>
    </w:p>
    <w:p>
      <w:pPr>
        <w:pStyle w:val="Normal"/>
        <w:widowControl w:val="false"/>
        <w:spacing w:lineRule="auto" w:line="360"/>
        <w:ind w:left="480" w:hanging="480"/>
        <w:rPr>
          <w:rFonts w:ascii="Calibri" w:hAnsi="Calibri"/>
          <w:lang w:val="es-ES"/>
        </w:rPr>
      </w:pPr>
      <w:r>
        <w:rPr>
          <w:rFonts w:ascii="Calibri" w:hAnsi="Calibri"/>
          <w:lang w:val="es-ES"/>
        </w:rPr>
        <w:t xml:space="preserve">Galbraith K V. et al. 2016. Parental acceptance and uptake of the HPV vaccine among African-Americans and Latinos in the United States: A literature review.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116–126. Available from: http://dx.doi.org/10.1016/j.socscimed.2016.04.028.</w:t>
      </w:r>
    </w:p>
    <w:p>
      <w:pPr>
        <w:pStyle w:val="Normal"/>
        <w:widowControl w:val="false"/>
        <w:spacing w:lineRule="auto" w:line="360"/>
        <w:ind w:left="480" w:hanging="480"/>
        <w:rPr>
          <w:rFonts w:ascii="Calibri" w:hAnsi="Calibri"/>
          <w:lang w:val="es-ES"/>
        </w:rPr>
      </w:pPr>
      <w:r>
        <w:rPr>
          <w:rFonts w:ascii="Calibri" w:hAnsi="Calibri"/>
          <w:lang w:val="es-ES"/>
        </w:rPr>
        <w:t xml:space="preserve">Gallup JL, Sachs JD. 2001. The economic burden of malaria.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64</w:t>
      </w:r>
      <w:r>
        <w:rPr>
          <w:rFonts w:ascii="Calibri" w:hAnsi="Calibri"/>
          <w:lang w:val="es-ES"/>
        </w:rPr>
        <w:t>(1–2 Suppl): 85–96. Available from: http://www.ncbi.nlm.nih.gov/pubmed/11425181.</w:t>
      </w:r>
    </w:p>
    <w:p>
      <w:pPr>
        <w:pStyle w:val="Normal"/>
        <w:widowControl w:val="false"/>
        <w:spacing w:lineRule="auto" w:line="360"/>
        <w:ind w:left="480" w:hanging="480"/>
        <w:rPr>
          <w:rFonts w:ascii="Calibri" w:hAnsi="Calibri"/>
          <w:lang w:val="es-ES"/>
        </w:rPr>
      </w:pPr>
      <w:r>
        <w:rPr>
          <w:rFonts w:ascii="Calibri" w:hAnsi="Calibri"/>
          <w:lang w:val="es-ES"/>
        </w:rPr>
        <w:t>GAVI the Vaccine Alliance. 2017. http://www.gavi.org. Available from: http://www.gavi.org [Accessed 4 December 2017].</w:t>
      </w:r>
    </w:p>
    <w:p>
      <w:pPr>
        <w:pStyle w:val="Normal"/>
        <w:widowControl w:val="false"/>
        <w:spacing w:lineRule="auto" w:line="360"/>
        <w:ind w:left="480" w:hanging="480"/>
        <w:rPr>
          <w:rFonts w:ascii="Calibri" w:hAnsi="Calibri"/>
          <w:lang w:val="es-ES"/>
        </w:rPr>
      </w:pPr>
      <w:r>
        <w:rPr>
          <w:rFonts w:ascii="Calibri" w:hAnsi="Calibri"/>
          <w:lang w:val="es-ES"/>
        </w:rPr>
        <w:t>Gilead. 2011. Gilead Sciences Inc - Prease Release. Available from: http://investors.gilead.com/phoenix.zhtml?c=69964&amp;p=irol-newsArticle&amp;ID=1637695 [Accessed 12 February 2018].</w:t>
      </w:r>
    </w:p>
    <w:p>
      <w:pPr>
        <w:pStyle w:val="Normal"/>
        <w:widowControl w:val="false"/>
        <w:spacing w:lineRule="auto" w:line="360"/>
        <w:ind w:left="480" w:hanging="480"/>
        <w:rPr>
          <w:rFonts w:ascii="Calibri" w:hAnsi="Calibri"/>
          <w:lang w:val="es-ES"/>
        </w:rPr>
      </w:pPr>
      <w:r>
        <w:rPr>
          <w:rFonts w:ascii="Calibri" w:hAnsi="Calibri"/>
          <w:lang w:val="es-ES"/>
        </w:rPr>
        <w:t xml:space="preserve">Goenka A et al. 2014. Infectious diseases and economic growth. </w:t>
      </w:r>
      <w:r>
        <w:rPr>
          <w:rFonts w:ascii="Calibri" w:hAnsi="Calibri"/>
          <w:i/>
          <w:iCs/>
          <w:lang w:val="es-ES"/>
        </w:rPr>
        <w:t>Journal of Mathematical Economics</w:t>
      </w:r>
      <w:r>
        <w:rPr>
          <w:rFonts w:ascii="Calibri" w:hAnsi="Calibri"/>
          <w:lang w:val="es-ES"/>
        </w:rPr>
        <w:t xml:space="preserve"> </w:t>
      </w:r>
      <w:r>
        <w:rPr>
          <w:rFonts w:ascii="Calibri" w:hAnsi="Calibri"/>
          <w:b/>
          <w:bCs/>
          <w:lang w:val="es-ES"/>
        </w:rPr>
        <w:t>50</w:t>
      </w:r>
      <w:r>
        <w:rPr>
          <w:rFonts w:ascii="Calibri" w:hAnsi="Calibri"/>
          <w:lang w:val="es-ES"/>
        </w:rPr>
        <w:t>: 34–53. Available from: http://linkinghub.elsevier.com/retrieve/pii/S0304406813000967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Golan O et al. 2011. Health technology prioritization: Which criteria for prioritizing new technologies and what are their relative weights? </w:t>
      </w:r>
      <w:r>
        <w:rPr>
          <w:rFonts w:ascii="Calibri" w:hAnsi="Calibri"/>
          <w:i/>
          <w:iCs/>
          <w:lang w:val="es-ES"/>
        </w:rPr>
        <w:t>Health Policy</w:t>
      </w:r>
      <w:r>
        <w:rPr>
          <w:rFonts w:ascii="Calibri" w:hAnsi="Calibri"/>
          <w:lang w:val="es-ES"/>
        </w:rPr>
        <w:t xml:space="preserve"> </w:t>
      </w:r>
      <w:r>
        <w:rPr>
          <w:rFonts w:ascii="Calibri" w:hAnsi="Calibri"/>
          <w:b/>
          <w:bCs/>
          <w:lang w:val="es-ES"/>
        </w:rPr>
        <w:t>102</w:t>
      </w:r>
      <w:r>
        <w:rPr>
          <w:rFonts w:ascii="Calibri" w:hAnsi="Calibri"/>
          <w:lang w:val="es-ES"/>
        </w:rPr>
        <w:t>(2–3): 126–135.</w:t>
      </w:r>
    </w:p>
    <w:p>
      <w:pPr>
        <w:pStyle w:val="Normal"/>
        <w:widowControl w:val="false"/>
        <w:spacing w:lineRule="auto" w:line="360"/>
        <w:ind w:left="480" w:hanging="480"/>
        <w:rPr>
          <w:rFonts w:ascii="Calibri" w:hAnsi="Calibri"/>
          <w:lang w:val="es-ES"/>
        </w:rPr>
      </w:pPr>
      <w:r>
        <w:rPr>
          <w:rFonts w:ascii="Calibri" w:hAnsi="Calibri"/>
          <w:lang w:val="es-ES"/>
        </w:rPr>
        <w:t xml:space="preserve">González R et al. 2016. A Public Health Paradox: The Women Most Vulnerable to Malaria Are the Least Protected. </w:t>
      </w:r>
      <w:r>
        <w:rPr>
          <w:rFonts w:ascii="Calibri" w:hAnsi="Calibri"/>
          <w:i/>
          <w:iCs/>
          <w:lang w:val="es-ES"/>
        </w:rPr>
        <w:t>PLoS Medicine</w:t>
      </w:r>
      <w:r>
        <w:rPr>
          <w:rFonts w:ascii="Calibri" w:hAnsi="Calibri"/>
          <w:lang w:val="es-ES"/>
        </w:rPr>
        <w:t xml:space="preserve"> </w:t>
      </w:r>
      <w:r>
        <w:rPr>
          <w:rFonts w:ascii="Calibri" w:hAnsi="Calibri"/>
          <w:b/>
          <w:bCs/>
          <w:lang w:val="es-ES"/>
        </w:rPr>
        <w:t>13</w:t>
      </w:r>
      <w:r>
        <w:rPr>
          <w:rFonts w:ascii="Calibri" w:hAnsi="Calibri"/>
          <w:lang w:val="es-ES"/>
        </w:rPr>
        <w:t>(5): 6–9.</w:t>
      </w:r>
    </w:p>
    <w:p>
      <w:pPr>
        <w:pStyle w:val="Normal"/>
        <w:widowControl w:val="false"/>
        <w:spacing w:lineRule="auto" w:line="360"/>
        <w:ind w:left="480" w:hanging="480"/>
        <w:rPr>
          <w:rFonts w:ascii="Calibri" w:hAnsi="Calibri"/>
          <w:lang w:val="es-ES"/>
        </w:rPr>
      </w:pPr>
      <w:r>
        <w:rPr>
          <w:rFonts w:ascii="Calibri" w:hAnsi="Calibri"/>
          <w:lang w:val="es-ES"/>
        </w:rPr>
        <w:t xml:space="preserve">Gradoni L et al. 2008. Drug regimens for visceral leishmaniasis in Mediterranean countries. </w:t>
      </w:r>
      <w:r>
        <w:rPr>
          <w:rFonts w:ascii="Calibri" w:hAnsi="Calibri"/>
          <w:i/>
          <w:iCs/>
          <w:lang w:val="es-ES"/>
        </w:rPr>
        <w:t>Tropical Medicine &amp; International Health: TM &amp; IH</w:t>
      </w:r>
      <w:r>
        <w:rPr>
          <w:rFonts w:ascii="Calibri" w:hAnsi="Calibri"/>
          <w:lang w:val="es-ES"/>
        </w:rPr>
        <w:t xml:space="preserve"> </w:t>
      </w:r>
      <w:r>
        <w:rPr>
          <w:rFonts w:ascii="Calibri" w:hAnsi="Calibri"/>
          <w:b/>
          <w:bCs/>
          <w:lang w:val="es-ES"/>
        </w:rPr>
        <w:t>13</w:t>
      </w:r>
      <w:r>
        <w:rPr>
          <w:rFonts w:ascii="Calibri" w:hAnsi="Calibri"/>
          <w:lang w:val="es-ES"/>
        </w:rPr>
        <w:t>(10): 1272–1276.</w:t>
      </w:r>
    </w:p>
    <w:p>
      <w:pPr>
        <w:pStyle w:val="Normal"/>
        <w:widowControl w:val="false"/>
        <w:spacing w:lineRule="auto" w:line="360"/>
        <w:ind w:left="480" w:hanging="480"/>
        <w:rPr>
          <w:rFonts w:ascii="Calibri" w:hAnsi="Calibri"/>
          <w:lang w:val="es-ES"/>
        </w:rPr>
      </w:pPr>
      <w:r>
        <w:rPr>
          <w:rFonts w:ascii="Calibri" w:hAnsi="Calibri"/>
          <w:lang w:val="es-ES"/>
        </w:rPr>
        <w:t xml:space="preserve">Grossman M. 1972. On the Concept of Health Capital and the Demand for Health On the Concept of Health Capital and the Demand for Health. </w:t>
      </w:r>
      <w:r>
        <w:rPr>
          <w:rFonts w:ascii="Calibri" w:hAnsi="Calibri"/>
          <w:i/>
          <w:iCs/>
          <w:lang w:val="es-ES"/>
        </w:rPr>
        <w:t>The Journal of Political Economy</w:t>
      </w:r>
      <w:r>
        <w:rPr>
          <w:rFonts w:ascii="Calibri" w:hAnsi="Calibri"/>
          <w:lang w:val="es-ES"/>
        </w:rPr>
        <w:t xml:space="preserve"> </w:t>
      </w:r>
      <w:r>
        <w:rPr>
          <w:rFonts w:ascii="Calibri" w:hAnsi="Calibri"/>
          <w:b/>
          <w:bCs/>
          <w:lang w:val="es-ES"/>
        </w:rPr>
        <w:t>80</w:t>
      </w:r>
      <w:r>
        <w:rPr>
          <w:rFonts w:ascii="Calibri" w:hAnsi="Calibri"/>
          <w:lang w:val="es-ES"/>
        </w:rPr>
        <w:t>(2): 223–255.</w:t>
      </w:r>
    </w:p>
    <w:p>
      <w:pPr>
        <w:pStyle w:val="Normal"/>
        <w:widowControl w:val="false"/>
        <w:spacing w:lineRule="auto" w:line="360"/>
        <w:ind w:left="480" w:hanging="480"/>
        <w:rPr>
          <w:rFonts w:ascii="Calibri" w:hAnsi="Calibri"/>
          <w:lang w:val="es-ES"/>
        </w:rPr>
      </w:pPr>
      <w:r>
        <w:rPr>
          <w:rFonts w:ascii="Calibri" w:hAnsi="Calibri"/>
          <w:lang w:val="es-ES"/>
        </w:rPr>
        <w:t xml:space="preserve">Hailu A et al. 2016. Equity in long-lasting insecticidal nets and indoor residual spraying for malaria prevention in a rural South Central Ethiopia.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366. Available from: http://malariajournal.biomedcentral.com/articles/10.1186/s12936-016-1425-0.</w:t>
      </w:r>
    </w:p>
    <w:p>
      <w:pPr>
        <w:pStyle w:val="Normal"/>
        <w:widowControl w:val="false"/>
        <w:spacing w:lineRule="auto" w:line="360"/>
        <w:ind w:left="480" w:hanging="480"/>
        <w:rPr>
          <w:rFonts w:ascii="Calibri" w:hAnsi="Calibri"/>
          <w:lang w:val="es-ES"/>
        </w:rPr>
      </w:pPr>
      <w:r>
        <w:rPr>
          <w:rFonts w:ascii="Calibri" w:hAnsi="Calibri"/>
          <w:lang w:val="es-ES"/>
        </w:rPr>
        <w:t xml:space="preserve">Hansen KS et al. 2013. Willingness-to-pay for a rapid malaria diagnostic test and artemisinin-based combination therapy from private drug shops in Mukono district, Uganda. </w:t>
      </w:r>
      <w:r>
        <w:rPr>
          <w:rFonts w:ascii="Calibri" w:hAnsi="Calibri"/>
          <w:i/>
          <w:iCs/>
          <w:lang w:val="es-ES"/>
        </w:rPr>
        <w:t>Health Policy and Planning</w:t>
      </w:r>
      <w:r>
        <w:rPr>
          <w:rFonts w:ascii="Calibri" w:hAnsi="Calibri"/>
          <w:lang w:val="es-ES"/>
        </w:rPr>
        <w:t xml:space="preserve"> </w:t>
      </w:r>
      <w:r>
        <w:rPr>
          <w:rFonts w:ascii="Calibri" w:hAnsi="Calibri"/>
          <w:b/>
          <w:bCs/>
          <w:lang w:val="es-ES"/>
        </w:rPr>
        <w:t>28</w:t>
      </w:r>
      <w:r>
        <w:rPr>
          <w:rFonts w:ascii="Calibri" w:hAnsi="Calibri"/>
          <w:lang w:val="es-ES"/>
        </w:rPr>
        <w:t>(2): 185–196.</w:t>
      </w:r>
    </w:p>
    <w:p>
      <w:pPr>
        <w:pStyle w:val="Normal"/>
        <w:widowControl w:val="false"/>
        <w:spacing w:lineRule="auto" w:line="360"/>
        <w:ind w:left="480" w:hanging="480"/>
        <w:rPr>
          <w:rFonts w:ascii="Calibri" w:hAnsi="Calibri"/>
          <w:lang w:val="es-ES"/>
        </w:rPr>
      </w:pPr>
      <w:r>
        <w:rPr>
          <w:rFonts w:ascii="Calibri" w:hAnsi="Calibri"/>
          <w:lang w:val="es-ES"/>
        </w:rPr>
        <w:t xml:space="preserve">Hartz S, John J. 2009. Public health policy decisions on medical innovations: What role can early economic evaluation play? </w:t>
      </w:r>
      <w:r>
        <w:rPr>
          <w:rFonts w:ascii="Calibri" w:hAnsi="Calibri"/>
          <w:i/>
          <w:iCs/>
          <w:lang w:val="es-ES"/>
        </w:rPr>
        <w:t>Health Policy</w:t>
      </w:r>
      <w:r>
        <w:rPr>
          <w:rFonts w:ascii="Calibri" w:hAnsi="Calibri"/>
          <w:lang w:val="es-ES"/>
        </w:rPr>
        <w:t xml:space="preserve"> </w:t>
      </w:r>
      <w:r>
        <w:rPr>
          <w:rFonts w:ascii="Calibri" w:hAnsi="Calibri"/>
          <w:b/>
          <w:bCs/>
          <w:lang w:val="es-ES"/>
        </w:rPr>
        <w:t>89</w:t>
      </w:r>
      <w:r>
        <w:rPr>
          <w:rFonts w:ascii="Calibri" w:hAnsi="Calibri"/>
          <w:lang w:val="es-ES"/>
        </w:rPr>
        <w:t>(2): 184–192. Available from: http://scholar.google.com/scholar?hl=en&amp;btnG=Search&amp;q=intitle:Approaching+the+Agora+?+Determinants+of+Scientists?+Intentions+to+Purse+Academic+Entrepreneurship#0.</w:t>
      </w:r>
    </w:p>
    <w:p>
      <w:pPr>
        <w:pStyle w:val="Normal"/>
        <w:widowControl w:val="false"/>
        <w:spacing w:lineRule="auto" w:line="360"/>
        <w:ind w:left="480" w:hanging="480"/>
        <w:rPr>
          <w:rFonts w:ascii="Calibri" w:hAnsi="Calibri"/>
          <w:lang w:val="es-ES"/>
        </w:rPr>
      </w:pPr>
      <w:r>
        <w:rPr>
          <w:rFonts w:ascii="Calibri" w:hAnsi="Calibri"/>
          <w:lang w:val="es-ES"/>
        </w:rPr>
        <w:t xml:space="preserve">Hotez PJ et al. 2012. Neglected Tropical Diseases of the Middle East and North Africa: Review of Their Prevalence, Distribution, and Opportunities for Control Aksoy S (ed).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6</w:t>
      </w:r>
      <w:r>
        <w:rPr>
          <w:rFonts w:ascii="Calibri" w:hAnsi="Calibri"/>
          <w:lang w:val="es-ES"/>
        </w:rPr>
        <w:t>(2): e1475. Available from: http://dx.plos.org/10.1371/journal.pntd.0001475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Howes RE et al. 2016. Global epidemiology of Plasmodium vivax.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95</w:t>
      </w:r>
      <w:r>
        <w:rPr>
          <w:rFonts w:ascii="Calibri" w:hAnsi="Calibri"/>
          <w:lang w:val="es-ES"/>
        </w:rPr>
        <w:t>(Suppl 6): 15–34.</w:t>
      </w:r>
    </w:p>
    <w:p>
      <w:pPr>
        <w:pStyle w:val="Normal"/>
        <w:widowControl w:val="false"/>
        <w:spacing w:lineRule="auto" w:line="360"/>
        <w:ind w:left="480" w:hanging="480"/>
        <w:rPr>
          <w:rFonts w:ascii="Calibri" w:hAnsi="Calibri"/>
          <w:lang w:val="es-ES"/>
        </w:rPr>
      </w:pPr>
      <w:r>
        <w:rPr>
          <w:rFonts w:ascii="Calibri" w:hAnsi="Calibri"/>
          <w:lang w:val="es-ES"/>
        </w:rPr>
        <w:t xml:space="preserve">Hutubessy R et al. 2012. A case study using the United Republic of Tanzania: costing nationwide HPV vaccine delivery using the WHO Cervical Cancer Prevention and Control Costing Tool. </w:t>
      </w:r>
      <w:r>
        <w:rPr>
          <w:rFonts w:ascii="Calibri" w:hAnsi="Calibri"/>
          <w:i/>
          <w:iCs/>
          <w:lang w:val="es-ES"/>
        </w:rPr>
        <w:t>BMC Med</w:t>
      </w:r>
      <w:r>
        <w:rPr>
          <w:rFonts w:ascii="Calibri" w:hAnsi="Calibri"/>
          <w:lang w:val="es-ES"/>
        </w:rPr>
        <w:t xml:space="preserve"> </w:t>
      </w:r>
      <w:r>
        <w:rPr>
          <w:rFonts w:ascii="Calibri" w:hAnsi="Calibri"/>
          <w:b/>
          <w:bCs/>
          <w:lang w:val="es-ES"/>
        </w:rPr>
        <w:t>10</w:t>
      </w:r>
      <w:r>
        <w:rPr>
          <w:rFonts w:ascii="Calibri" w:hAnsi="Calibri"/>
          <w:lang w:val="es-ES"/>
        </w:rPr>
        <w:t>: 136.</w:t>
      </w:r>
    </w:p>
    <w:p>
      <w:pPr>
        <w:pStyle w:val="Normal"/>
        <w:widowControl w:val="false"/>
        <w:spacing w:lineRule="auto" w:line="360"/>
        <w:ind w:left="480" w:hanging="480"/>
        <w:rPr>
          <w:rFonts w:ascii="Calibri" w:hAnsi="Calibri"/>
          <w:lang w:val="es-ES"/>
        </w:rPr>
      </w:pPr>
      <w:r>
        <w:rPr>
          <w:rFonts w:ascii="Calibri" w:hAnsi="Calibri"/>
          <w:lang w:val="es-ES"/>
        </w:rPr>
        <w:t>ICO Information Centre on HPV and Cancer. 2017. Mozambique. Human Papillomavirus and Related Cancers, Fact Sheet 2017.</w:t>
      </w:r>
    </w:p>
    <w:p>
      <w:pPr>
        <w:pStyle w:val="Normal"/>
        <w:widowControl w:val="false"/>
        <w:spacing w:lineRule="auto" w:line="360"/>
        <w:ind w:left="480" w:hanging="480"/>
        <w:rPr>
          <w:rFonts w:ascii="Calibri" w:hAnsi="Calibri"/>
          <w:lang w:val="es-ES"/>
        </w:rPr>
      </w:pPr>
      <w:r>
        <w:rPr>
          <w:rFonts w:ascii="Calibri" w:hAnsi="Calibri"/>
          <w:lang w:val="es-ES"/>
        </w:rPr>
        <w:t>Institute for Health Metrics and Evaluation. 2016. Mozambique Profile. Available from: http://www.healthdata.org/mozambique.</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2016a. </w:t>
      </w:r>
      <w:r>
        <w:rPr>
          <w:rFonts w:ascii="Calibri" w:hAnsi="Calibri"/>
          <w:i/>
          <w:iCs/>
          <w:lang w:val="es-ES"/>
        </w:rPr>
        <w:t>The Global Burden of Disease Generating Evidence, Guiding Policy. Middle East and North Africa Regional Edition</w:t>
      </w:r>
      <w:r>
        <w:rPr>
          <w:rFonts w:ascii="Calibri" w:hAnsi="Calibri"/>
          <w:lang w:val="es-ES"/>
        </w:rPr>
        <w:t>. The World Bank.</w:t>
      </w:r>
    </w:p>
    <w:p>
      <w:pPr>
        <w:pStyle w:val="Normal"/>
        <w:widowControl w:val="false"/>
        <w:spacing w:lineRule="auto" w:line="360"/>
        <w:ind w:left="480" w:hanging="480"/>
        <w:rPr>
          <w:rFonts w:ascii="Calibri" w:hAnsi="Calibri"/>
          <w:lang w:val="es-ES"/>
        </w:rPr>
      </w:pPr>
      <w:r>
        <w:rPr>
          <w:rFonts w:ascii="Calibri" w:hAnsi="Calibri"/>
          <w:lang w:val="es-ES"/>
        </w:rPr>
        <w:t xml:space="preserve">Institute for Health Metrics and Evaluation and the International Centre for Humanitarian Affairs. 2016b. </w:t>
      </w:r>
      <w:r>
        <w:rPr>
          <w:rFonts w:ascii="Calibri" w:hAnsi="Calibri"/>
          <w:i/>
          <w:iCs/>
          <w:lang w:val="es-ES"/>
        </w:rPr>
        <w:t>The Global Burden of Disease Generating Evidence, Guiding Policy. Sub-Saharan Africa Regional Edition</w:t>
      </w:r>
      <w:r>
        <w:rPr>
          <w:rFonts w:ascii="Calibri" w:hAnsi="Calibri"/>
          <w:lang w:val="es-ES"/>
        </w:rPr>
        <w:t>. The World Bank. Available from: http://icha.net/media/pdf/444_Kenya Health Report-The Global Burdenof DiseaseGenerating Evidence, Guiding Policy in Kenya.pdf.</w:t>
      </w:r>
    </w:p>
    <w:p>
      <w:pPr>
        <w:pStyle w:val="Normal"/>
        <w:widowControl w:val="false"/>
        <w:spacing w:lineRule="auto" w:line="360"/>
        <w:ind w:left="480" w:hanging="480"/>
        <w:rPr>
          <w:rFonts w:ascii="Calibri" w:hAnsi="Calibri"/>
          <w:lang w:val="es-ES"/>
        </w:rPr>
      </w:pPr>
      <w:r>
        <w:rPr>
          <w:rFonts w:ascii="Calibri" w:hAnsi="Calibri"/>
          <w:lang w:val="es-ES"/>
        </w:rPr>
        <w:t xml:space="preserve">Jo C. 2014. Cost-of-illness studies: concepts, scopes, and methods. </w:t>
      </w:r>
      <w:r>
        <w:rPr>
          <w:rFonts w:ascii="Calibri" w:hAnsi="Calibri"/>
          <w:i/>
          <w:iCs/>
          <w:lang w:val="es-ES"/>
        </w:rPr>
        <w:t>Clinical and Molecular Hepatology</w:t>
      </w:r>
      <w:r>
        <w:rPr>
          <w:rFonts w:ascii="Calibri" w:hAnsi="Calibri"/>
          <w:lang w:val="es-ES"/>
        </w:rPr>
        <w:t xml:space="preserve"> </w:t>
      </w:r>
      <w:r>
        <w:rPr>
          <w:rFonts w:ascii="Calibri" w:hAnsi="Calibri"/>
          <w:b/>
          <w:bCs/>
          <w:lang w:val="es-ES"/>
        </w:rPr>
        <w:t>20</w:t>
      </w:r>
      <w:r>
        <w:rPr>
          <w:rFonts w:ascii="Calibri" w:hAnsi="Calibri"/>
          <w:lang w:val="es-ES"/>
        </w:rPr>
        <w:t>(4): 327. Available from: http://e-cmh.org/journal/view.php?doi=10.3350/cmh.2014.20.4.327.</w:t>
      </w:r>
    </w:p>
    <w:p>
      <w:pPr>
        <w:pStyle w:val="Normal"/>
        <w:widowControl w:val="false"/>
        <w:spacing w:lineRule="auto" w:line="360"/>
        <w:ind w:left="480" w:hanging="480"/>
        <w:rPr>
          <w:rFonts w:ascii="Calibri" w:hAnsi="Calibri"/>
          <w:lang w:val="es-ES"/>
        </w:rPr>
      </w:pPr>
      <w:r>
        <w:rPr>
          <w:rFonts w:ascii="Calibri" w:hAnsi="Calibri"/>
          <w:lang w:val="es-ES"/>
        </w:rPr>
        <w:t xml:space="preserve">Johar M et al. 2013. Using repeated choice experiments to evaluate the impact of policy changes on cervical screening. </w:t>
      </w:r>
      <w:r>
        <w:rPr>
          <w:rFonts w:ascii="Calibri" w:hAnsi="Calibri"/>
          <w:i/>
          <w:iCs/>
          <w:lang w:val="es-ES"/>
        </w:rPr>
        <w:t>Applied Economics</w:t>
      </w:r>
      <w:r>
        <w:rPr>
          <w:rFonts w:ascii="Calibri" w:hAnsi="Calibri"/>
          <w:lang w:val="es-ES"/>
        </w:rPr>
        <w:t xml:space="preserve"> </w:t>
      </w:r>
      <w:r>
        <w:rPr>
          <w:rFonts w:ascii="Calibri" w:hAnsi="Calibri"/>
          <w:b/>
          <w:bCs/>
          <w:lang w:val="es-ES"/>
        </w:rPr>
        <w:t>45</w:t>
      </w:r>
      <w:r>
        <w:rPr>
          <w:rFonts w:ascii="Calibri" w:hAnsi="Calibri"/>
          <w:lang w:val="es-ES"/>
        </w:rPr>
        <w:t>(14): 1845–1855.</w:t>
      </w:r>
    </w:p>
    <w:p>
      <w:pPr>
        <w:pStyle w:val="Normal"/>
        <w:widowControl w:val="false"/>
        <w:spacing w:lineRule="auto" w:line="360"/>
        <w:ind w:left="480" w:hanging="480"/>
        <w:rPr>
          <w:rFonts w:ascii="Calibri" w:hAnsi="Calibri"/>
          <w:lang w:val="es-ES"/>
        </w:rPr>
      </w:pPr>
      <w:r>
        <w:rPr>
          <w:rFonts w:ascii="Calibri" w:hAnsi="Calibri"/>
          <w:lang w:val="es-ES"/>
        </w:rPr>
        <w:t xml:space="preserve">Johri M, Norheim OF. 2012. Can Cost-effectiveness analysis integrate concerns for equity? Systematic review. </w:t>
      </w:r>
      <w:r>
        <w:rPr>
          <w:rFonts w:ascii="Calibri" w:hAnsi="Calibri"/>
          <w:i/>
          <w:iCs/>
          <w:lang w:val="es-ES"/>
        </w:rPr>
        <w:t>International Journal of Technology Assessment in Health Care</w:t>
      </w:r>
      <w:r>
        <w:rPr>
          <w:rFonts w:ascii="Calibri" w:hAnsi="Calibri"/>
          <w:lang w:val="es-ES"/>
        </w:rPr>
        <w:t xml:space="preserve"> </w:t>
      </w:r>
      <w:r>
        <w:rPr>
          <w:rFonts w:ascii="Calibri" w:hAnsi="Calibri"/>
          <w:b/>
          <w:bCs/>
          <w:lang w:val="es-ES"/>
        </w:rPr>
        <w:t>28</w:t>
      </w:r>
      <w:r>
        <w:rPr>
          <w:rFonts w:ascii="Calibri" w:hAnsi="Calibri"/>
          <w:lang w:val="es-ES"/>
        </w:rPr>
        <w:t>(2): 125–132.</w:t>
      </w:r>
    </w:p>
    <w:p>
      <w:pPr>
        <w:pStyle w:val="Normal"/>
        <w:widowControl w:val="false"/>
        <w:spacing w:lineRule="auto" w:line="360"/>
        <w:ind w:left="480" w:hanging="480"/>
        <w:rPr>
          <w:rFonts w:ascii="Calibri" w:hAnsi="Calibri"/>
          <w:lang w:val="es-ES"/>
        </w:rPr>
      </w:pPr>
      <w:r>
        <w:rPr>
          <w:rFonts w:ascii="Calibri" w:hAnsi="Calibri"/>
          <w:lang w:val="es-ES"/>
        </w:rPr>
        <w:t xml:space="preserve">Kafetzis D a. et al. 2005. Treatment of paediatric visceral leishmaniasis: Amphotericin B or pentavalent antimony compounds? </w:t>
      </w:r>
      <w:r>
        <w:rPr>
          <w:rFonts w:ascii="Calibri" w:hAnsi="Calibri"/>
          <w:i/>
          <w:iCs/>
          <w:lang w:val="es-ES"/>
        </w:rPr>
        <w:t>International Journal of Antimicrobial Agents</w:t>
      </w:r>
      <w:r>
        <w:rPr>
          <w:rFonts w:ascii="Calibri" w:hAnsi="Calibri"/>
          <w:lang w:val="es-ES"/>
        </w:rPr>
        <w:t xml:space="preserve"> </w:t>
      </w:r>
      <w:r>
        <w:rPr>
          <w:rFonts w:ascii="Calibri" w:hAnsi="Calibri"/>
          <w:b/>
          <w:bCs/>
          <w:lang w:val="es-ES"/>
        </w:rPr>
        <w:t>25</w:t>
      </w:r>
      <w:r>
        <w:rPr>
          <w:rFonts w:ascii="Calibri" w:hAnsi="Calibri"/>
          <w:lang w:val="es-ES"/>
        </w:rPr>
        <w:t>(1): 26–30.</w:t>
      </w:r>
    </w:p>
    <w:p>
      <w:pPr>
        <w:pStyle w:val="Normal"/>
        <w:widowControl w:val="false"/>
        <w:spacing w:lineRule="auto" w:line="360"/>
        <w:ind w:left="480" w:hanging="480"/>
        <w:rPr>
          <w:rFonts w:ascii="Calibri" w:hAnsi="Calibri"/>
          <w:lang w:val="es-ES"/>
        </w:rPr>
      </w:pPr>
      <w:r>
        <w:rPr>
          <w:rFonts w:ascii="Calibri" w:hAnsi="Calibri"/>
          <w:lang w:val="es-ES"/>
        </w:rPr>
        <w:t xml:space="preserve">Kahime K et al. 2017. Urbanization of human visceral leishmaniasis in Morocco. </w:t>
      </w:r>
      <w:r>
        <w:rPr>
          <w:rFonts w:ascii="Calibri" w:hAnsi="Calibri"/>
          <w:i/>
          <w:iCs/>
          <w:lang w:val="es-ES"/>
        </w:rPr>
        <w:t>Parasite Epidemiology and Control</w:t>
      </w:r>
      <w:r>
        <w:rPr>
          <w:rFonts w:ascii="Calibri" w:hAnsi="Calibri"/>
          <w:lang w:val="es-ES"/>
        </w:rPr>
        <w:t xml:space="preserve"> </w:t>
      </w:r>
      <w:r>
        <w:rPr>
          <w:rFonts w:ascii="Calibri" w:hAnsi="Calibri"/>
          <w:b/>
          <w:bCs/>
          <w:lang w:val="es-ES"/>
        </w:rPr>
        <w:t>2</w:t>
      </w:r>
      <w:r>
        <w:rPr>
          <w:rFonts w:ascii="Calibri" w:hAnsi="Calibri"/>
          <w:lang w:val="es-ES"/>
        </w:rPr>
        <w:t>(4): 1–6. Available from: http://dx.doi.org/10.1016/j.parepi.2017.07.001.</w:t>
      </w:r>
    </w:p>
    <w:p>
      <w:pPr>
        <w:pStyle w:val="Normal"/>
        <w:widowControl w:val="false"/>
        <w:spacing w:lineRule="auto" w:line="360"/>
        <w:ind w:left="480" w:hanging="480"/>
        <w:rPr>
          <w:rFonts w:ascii="Calibri" w:hAnsi="Calibri"/>
          <w:lang w:val="es-ES"/>
        </w:rPr>
      </w:pPr>
      <w:r>
        <w:rPr>
          <w:rFonts w:ascii="Calibri" w:hAnsi="Calibri"/>
          <w:lang w:val="es-ES"/>
        </w:rPr>
        <w:t xml:space="preserve">Kangwana BP et al. 2011. The impact of retail-sector delivery of artemether-lumefantrine on malaria treatment of children under five in Kenya: a cluster randomized controlled trial. </w:t>
      </w:r>
      <w:r>
        <w:rPr>
          <w:rFonts w:ascii="Calibri" w:hAnsi="Calibri"/>
          <w:i/>
          <w:iCs/>
          <w:lang w:val="es-ES"/>
        </w:rPr>
        <w:t>PLoS Medicine</w:t>
      </w:r>
      <w:r>
        <w:rPr>
          <w:rFonts w:ascii="Calibri" w:hAnsi="Calibri"/>
          <w:lang w:val="es-ES"/>
        </w:rPr>
        <w:t xml:space="preserve"> </w:t>
      </w:r>
      <w:r>
        <w:rPr>
          <w:rFonts w:ascii="Calibri" w:hAnsi="Calibri"/>
          <w:b/>
          <w:bCs/>
          <w:lang w:val="es-ES"/>
        </w:rPr>
        <w:t>8</w:t>
      </w:r>
      <w:r>
        <w:rPr>
          <w:rFonts w:ascii="Calibri" w:hAnsi="Calibri"/>
          <w:lang w:val="es-ES"/>
        </w:rPr>
        <w:t>(5): e1000437. Available from: http://www.pubmedcentral.nih.gov/articlerender.fcgi?artid=3104978&amp;tool=pmcentrez&amp;rendertype=abstract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Kassebaum NJ et al. 2016. Global, regional, and national disability-adjusted life-years (DALYs) for 315 diseases and injuries and healthy life expectancy (HALE), 1990–2015: a systematic analysis for the Global Burden of Disease Study 2015. </w:t>
      </w:r>
      <w:r>
        <w:rPr>
          <w:rFonts w:ascii="Calibri" w:hAnsi="Calibri"/>
          <w:i/>
          <w:iCs/>
          <w:lang w:val="es-ES"/>
        </w:rPr>
        <w:t>The Lancet</w:t>
      </w:r>
      <w:r>
        <w:rPr>
          <w:rFonts w:ascii="Calibri" w:hAnsi="Calibri"/>
          <w:lang w:val="es-ES"/>
        </w:rPr>
        <w:t xml:space="preserve"> </w:t>
      </w:r>
      <w:r>
        <w:rPr>
          <w:rFonts w:ascii="Calibri" w:hAnsi="Calibri"/>
          <w:b/>
          <w:bCs/>
          <w:lang w:val="es-ES"/>
        </w:rPr>
        <w:t>388</w:t>
      </w:r>
      <w:r>
        <w:rPr>
          <w:rFonts w:ascii="Calibri" w:hAnsi="Calibri"/>
          <w:lang w:val="es-ES"/>
        </w:rPr>
        <w:t>(10053): 1603–1658.</w:t>
      </w:r>
    </w:p>
    <w:p>
      <w:pPr>
        <w:pStyle w:val="Normal"/>
        <w:widowControl w:val="false"/>
        <w:spacing w:lineRule="auto" w:line="360"/>
        <w:ind w:left="480" w:hanging="480"/>
        <w:rPr>
          <w:rFonts w:ascii="Calibri" w:hAnsi="Calibri"/>
          <w:lang w:val="es-ES"/>
        </w:rPr>
      </w:pPr>
      <w:r>
        <w:rPr>
          <w:rFonts w:ascii="Calibri" w:hAnsi="Calibri"/>
          <w:lang w:val="es-ES"/>
        </w:rPr>
        <w:t xml:space="preserve">Lasset C et al. 2014. Practices and opinions regarding HPV vaccination among French general practitioners: Evaluation through two cross-sectional studies in 2007 and 2010.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59</w:t>
      </w:r>
      <w:r>
        <w:rPr>
          <w:rFonts w:ascii="Calibri" w:hAnsi="Calibri"/>
          <w:lang w:val="es-ES"/>
        </w:rPr>
        <w:t>(3): 519–528.</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Bhutta Z a et al. 2006. </w:t>
      </w:r>
      <w:r>
        <w:rPr>
          <w:rFonts w:ascii="Calibri" w:hAnsi="Calibri"/>
          <w:i/>
          <w:iCs/>
          <w:lang w:val="es-ES"/>
        </w:rPr>
        <w:t>Disease Control Priorities in Developing Countries. Chapter 55 Drug Resistances.</w:t>
      </w:r>
    </w:p>
    <w:p>
      <w:pPr>
        <w:pStyle w:val="Normal"/>
        <w:widowControl w:val="false"/>
        <w:spacing w:lineRule="auto" w:line="360"/>
        <w:ind w:left="480" w:hanging="480"/>
        <w:rPr>
          <w:rFonts w:ascii="Calibri" w:hAnsi="Calibri"/>
          <w:lang w:val="es-ES"/>
        </w:rPr>
      </w:pPr>
      <w:r>
        <w:rPr>
          <w:rFonts w:ascii="Calibri" w:hAnsi="Calibri"/>
          <w:lang w:val="es-ES"/>
        </w:rPr>
        <w:t xml:space="preserve">Laxminarayan R, Over M et al. 2006. Will a global subsidy of new antimalarials delay the emergence of resistance and save lives? </w:t>
      </w:r>
      <w:r>
        <w:rPr>
          <w:rFonts w:ascii="Calibri" w:hAnsi="Calibri"/>
          <w:i/>
          <w:iCs/>
          <w:lang w:val="es-ES"/>
        </w:rPr>
        <w:t>Health Affairs (Project Hope)</w:t>
      </w:r>
      <w:r>
        <w:rPr>
          <w:rFonts w:ascii="Calibri" w:hAnsi="Calibri"/>
          <w:lang w:val="es-ES"/>
        </w:rPr>
        <w:t xml:space="preserve"> </w:t>
      </w:r>
      <w:r>
        <w:rPr>
          <w:rFonts w:ascii="Calibri" w:hAnsi="Calibri"/>
          <w:b/>
          <w:bCs/>
          <w:lang w:val="es-ES"/>
        </w:rPr>
        <w:t>25</w:t>
      </w:r>
      <w:r>
        <w:rPr>
          <w:rFonts w:ascii="Calibri" w:hAnsi="Calibri"/>
          <w:lang w:val="es-ES"/>
        </w:rPr>
        <w:t>(2): 325–36. Available from: http://www.ncbi.nlm.nih.gov/pubmed/16522574 [Accessed 3 May 2014].</w:t>
      </w:r>
    </w:p>
    <w:p>
      <w:pPr>
        <w:pStyle w:val="Normal"/>
        <w:widowControl w:val="false"/>
        <w:spacing w:lineRule="auto" w:line="360"/>
        <w:ind w:left="480" w:hanging="480"/>
        <w:rPr>
          <w:rFonts w:ascii="Calibri" w:hAnsi="Calibri"/>
          <w:lang w:val="es-ES"/>
        </w:rPr>
      </w:pPr>
      <w:r>
        <w:rPr>
          <w:rFonts w:ascii="Calibri" w:hAnsi="Calibri"/>
          <w:lang w:val="es-ES"/>
        </w:rPr>
        <w:t xml:space="preserve">Lee BY et al. 2012. The economic value of a visceral leishmaniasis vaccine in Bihar State, India.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86</w:t>
      </w:r>
      <w:r>
        <w:rPr>
          <w:rFonts w:ascii="Calibri" w:hAnsi="Calibri"/>
          <w:lang w:val="es-ES"/>
        </w:rPr>
        <w:t>(3): 417–425.</w:t>
      </w:r>
    </w:p>
    <w:p>
      <w:pPr>
        <w:pStyle w:val="Normal"/>
        <w:widowControl w:val="false"/>
        <w:spacing w:lineRule="auto" w:line="360"/>
        <w:ind w:left="480" w:hanging="480"/>
        <w:rPr>
          <w:rFonts w:ascii="Calibri" w:hAnsi="Calibri"/>
          <w:lang w:val="es-ES"/>
        </w:rPr>
      </w:pPr>
      <w:r>
        <w:rPr>
          <w:rFonts w:ascii="Calibri" w:hAnsi="Calibri"/>
          <w:lang w:val="es-ES"/>
        </w:rPr>
        <w:t xml:space="preserve">Lessard C et al. 2010. The role (or not) of economic evaluation at the micro level: Can Bourdieu’s theory provide a way forward for clinical decision-making? </w:t>
      </w:r>
      <w:r>
        <w:rPr>
          <w:rFonts w:ascii="Calibri" w:hAnsi="Calibri"/>
          <w:i/>
          <w:iCs/>
          <w:lang w:val="es-ES"/>
        </w:rPr>
        <w:t>Social Science and Medicine</w:t>
      </w:r>
      <w:r>
        <w:rPr>
          <w:rFonts w:ascii="Calibri" w:hAnsi="Calibri"/>
          <w:lang w:val="es-ES"/>
        </w:rPr>
        <w:t xml:space="preserve"> </w:t>
      </w:r>
      <w:r>
        <w:rPr>
          <w:rFonts w:ascii="Calibri" w:hAnsi="Calibri"/>
          <w:b/>
          <w:bCs/>
          <w:lang w:val="es-ES"/>
        </w:rPr>
        <w:t>70</w:t>
      </w:r>
      <w:r>
        <w:rPr>
          <w:rFonts w:ascii="Calibri" w:hAnsi="Calibri"/>
          <w:lang w:val="es-ES"/>
        </w:rPr>
        <w:t>(12): 1948–1956.</w:t>
      </w:r>
    </w:p>
    <w:p>
      <w:pPr>
        <w:pStyle w:val="Normal"/>
        <w:widowControl w:val="false"/>
        <w:spacing w:lineRule="auto" w:line="360"/>
        <w:ind w:left="480" w:hanging="480"/>
        <w:rPr>
          <w:rFonts w:ascii="Calibri" w:hAnsi="Calibri"/>
          <w:lang w:val="es-ES"/>
        </w:rPr>
      </w:pPr>
      <w:r>
        <w:rPr>
          <w:rFonts w:ascii="Calibri" w:hAnsi="Calibri"/>
          <w:lang w:val="es-ES"/>
        </w:rPr>
        <w:t xml:space="preserve">Levin A et al. 2014. Costs of introducing and delivering HPV vaccines in low and lower middle income countries: Inputs for GAVI policy on introduction grant support to countries. </w:t>
      </w:r>
      <w:r>
        <w:rPr>
          <w:rFonts w:ascii="Calibri" w:hAnsi="Calibri"/>
          <w:i/>
          <w:iCs/>
          <w:lang w:val="es-ES"/>
        </w:rPr>
        <w:t>PLoS ONE</w:t>
      </w:r>
      <w:r>
        <w:rPr>
          <w:rFonts w:ascii="Calibri" w:hAnsi="Calibri"/>
          <w:lang w:val="es-ES"/>
        </w:rPr>
        <w:t xml:space="preserve"> </w:t>
      </w:r>
      <w:r>
        <w:rPr>
          <w:rFonts w:ascii="Calibri" w:hAnsi="Calibri"/>
          <w:b/>
          <w:bCs/>
          <w:lang w:val="es-ES"/>
        </w:rPr>
        <w:t>9</w:t>
      </w:r>
      <w:r>
        <w:rPr>
          <w:rFonts w:ascii="Calibri" w:hAnsi="Calibri"/>
          <w:lang w:val="es-ES"/>
        </w:rPr>
        <w:t>(6).</w:t>
      </w:r>
    </w:p>
    <w:p>
      <w:pPr>
        <w:pStyle w:val="Normal"/>
        <w:widowControl w:val="false"/>
        <w:spacing w:lineRule="auto" w:line="360"/>
        <w:ind w:left="480" w:hanging="480"/>
        <w:rPr>
          <w:rFonts w:ascii="Calibri" w:hAnsi="Calibri"/>
          <w:lang w:val="es-ES"/>
        </w:rPr>
      </w:pPr>
      <w:r>
        <w:rPr>
          <w:rFonts w:ascii="Calibri" w:hAnsi="Calibri"/>
          <w:lang w:val="es-ES"/>
        </w:rPr>
        <w:t xml:space="preserve">Levin CE et al. 2013. Delivery cost of human papillomavirus vaccination of young adolescent girls in Peru, Uganda and Viet Nam.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91</w:t>
      </w:r>
      <w:r>
        <w:rPr>
          <w:rFonts w:ascii="Calibri" w:hAnsi="Calibri"/>
          <w:lang w:val="es-ES"/>
        </w:rPr>
        <w:t>(8): 585–92. Available from: http://www.pubmedcentral.nih.gov/articlerender.fcgi?artid=3738308&amp;tool=pmcentrez&amp;rendertype=abstract.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Lopez LE. 2015. Corruption and International Aid Allocation: a Complex Dance. </w:t>
      </w:r>
      <w:r>
        <w:rPr>
          <w:rFonts w:ascii="Calibri" w:hAnsi="Calibri"/>
          <w:i/>
          <w:iCs/>
          <w:lang w:val="es-ES"/>
        </w:rPr>
        <w:t>Journal of Economic Development</w:t>
      </w:r>
      <w:r>
        <w:rPr>
          <w:rFonts w:ascii="Calibri" w:hAnsi="Calibri"/>
          <w:lang w:val="es-ES"/>
        </w:rPr>
        <w:t xml:space="preserve"> </w:t>
      </w:r>
      <w:r>
        <w:rPr>
          <w:rFonts w:ascii="Calibri" w:hAnsi="Calibri"/>
          <w:b/>
          <w:bCs/>
          <w:lang w:val="es-ES"/>
        </w:rPr>
        <w:t>40</w:t>
      </w:r>
      <w:r>
        <w:rPr>
          <w:rFonts w:ascii="Calibri" w:hAnsi="Calibri"/>
          <w:lang w:val="es-ES"/>
        </w:rPr>
        <w:t>(1): 35–61. Available from: http://search.proquest.com/docview/1704385714?accountid=8630%255Cnhttp://diglib1.bham.ac.uk:3210/sfxlcl3?url_ver=Z39.88-2004&amp;rft_val_fmt=info:ofi/fmt:kev:mtx:journal&amp;genre=article&amp;sid=ProQ:ProQ%253Aabiglobal&amp;atitle=CORRUPTION+AND+INTERNATIONAL+AID+ALLOCATION%25.</w:t>
      </w:r>
    </w:p>
    <w:p>
      <w:pPr>
        <w:pStyle w:val="Normal"/>
        <w:widowControl w:val="false"/>
        <w:spacing w:lineRule="auto" w:line="360"/>
        <w:ind w:left="480" w:hanging="480"/>
        <w:rPr>
          <w:rFonts w:ascii="Calibri" w:hAnsi="Calibri"/>
          <w:lang w:val="es-ES"/>
        </w:rPr>
      </w:pPr>
      <w:r>
        <w:rPr>
          <w:rFonts w:ascii="Calibri" w:hAnsi="Calibri"/>
          <w:lang w:val="es-ES"/>
        </w:rPr>
        <w:t xml:space="preserve">Lucas AM. 2010. Malaria Eradication and Educational Attainment: Evidence from Paraguay and Sri Lanka. </w:t>
      </w:r>
      <w:r>
        <w:rPr>
          <w:rFonts w:ascii="Calibri" w:hAnsi="Calibri"/>
          <w:i/>
          <w:iCs/>
          <w:lang w:val="es-ES"/>
        </w:rPr>
        <w:t>American Economic Journal. Applied Economics</w:t>
      </w:r>
      <w:r>
        <w:rPr>
          <w:rFonts w:ascii="Calibri" w:hAnsi="Calibri"/>
          <w:lang w:val="es-ES"/>
        </w:rPr>
        <w:t xml:space="preserve"> </w:t>
      </w:r>
      <w:r>
        <w:rPr>
          <w:rFonts w:ascii="Calibri" w:hAnsi="Calibri"/>
          <w:b/>
          <w:bCs/>
          <w:lang w:val="es-ES"/>
        </w:rPr>
        <w:t>2</w:t>
      </w:r>
      <w:r>
        <w:rPr>
          <w:rFonts w:ascii="Calibri" w:hAnsi="Calibri"/>
          <w:lang w:val="es-ES"/>
        </w:rPr>
        <w:t>(2): 46–71. Available from: http://www.pubmedcentral.nih.gov/articlerender.fcgi?artid=3740749&amp;tool=pmcentrez&amp;rendertype=abstract.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Lutumba P et al. 2007. Cost-effectiveness of algorithms for confirmation test of human African trypanosomiasis. </w:t>
      </w:r>
      <w:r>
        <w:rPr>
          <w:rFonts w:ascii="Calibri" w:hAnsi="Calibri"/>
          <w:i/>
          <w:iCs/>
          <w:lang w:val="es-ES"/>
        </w:rPr>
        <w:t>Emerging Infectious Diseases</w:t>
      </w:r>
      <w:r>
        <w:rPr>
          <w:rFonts w:ascii="Calibri" w:hAnsi="Calibri"/>
          <w:lang w:val="es-ES"/>
        </w:rPr>
        <w:t xml:space="preserve"> </w:t>
      </w:r>
      <w:r>
        <w:rPr>
          <w:rFonts w:ascii="Calibri" w:hAnsi="Calibri"/>
          <w:b/>
          <w:bCs/>
          <w:lang w:val="es-ES"/>
        </w:rPr>
        <w:t>13</w:t>
      </w:r>
      <w:r>
        <w:rPr>
          <w:rFonts w:ascii="Calibri" w:hAnsi="Calibri"/>
          <w:lang w:val="es-ES"/>
        </w:rPr>
        <w:t>(10): 1484–1490.</w:t>
      </w:r>
    </w:p>
    <w:p>
      <w:pPr>
        <w:pStyle w:val="Normal"/>
        <w:widowControl w:val="false"/>
        <w:spacing w:lineRule="auto" w:line="360"/>
        <w:ind w:left="480" w:hanging="480"/>
        <w:rPr>
          <w:rFonts w:ascii="Calibri" w:hAnsi="Calibri"/>
          <w:lang w:val="es-ES"/>
        </w:rPr>
      </w:pPr>
      <w:r>
        <w:rPr>
          <w:rFonts w:ascii="Calibri" w:hAnsi="Calibri"/>
          <w:lang w:val="es-ES"/>
        </w:rPr>
        <w:t xml:space="preserve">Maher D et al. 2010. Health transition in Africa: practical policy proposals for primary care.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88</w:t>
      </w:r>
      <w:r>
        <w:rPr>
          <w:rFonts w:ascii="Calibri" w:hAnsi="Calibri"/>
          <w:lang w:val="es-ES"/>
        </w:rPr>
        <w:t>(12): 943–8. Available from: http://www.who.int/bulletin/volumes/88/12/10.077891.pdf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Manderson L et al. 2009. Social research on neglected diseases of poverty: Continuing and emerging themes.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3</w:t>
      </w:r>
      <w:r>
        <w:rPr>
          <w:rFonts w:ascii="Calibri" w:hAnsi="Calibri"/>
          <w:lang w:val="es-ES"/>
        </w:rPr>
        <w:t>(2): 1–6.</w:t>
      </w:r>
    </w:p>
    <w:p>
      <w:pPr>
        <w:pStyle w:val="Normal"/>
        <w:widowControl w:val="false"/>
        <w:spacing w:lineRule="auto" w:line="360"/>
        <w:ind w:left="480" w:hanging="480"/>
        <w:rPr>
          <w:rFonts w:ascii="Calibri" w:hAnsi="Calibri"/>
          <w:lang w:val="es-ES"/>
        </w:rPr>
      </w:pPr>
      <w:r>
        <w:rPr>
          <w:rFonts w:ascii="Calibri" w:hAnsi="Calibri"/>
          <w:lang w:val="es-ES"/>
        </w:rPr>
        <w:t xml:space="preserve">Marsh K et al. 2012. Estimating cost-effectiveness in public health: a summary of modelling and valuation methods. </w:t>
      </w:r>
      <w:r>
        <w:rPr>
          <w:rFonts w:ascii="Calibri" w:hAnsi="Calibri"/>
          <w:i/>
          <w:iCs/>
          <w:lang w:val="es-ES"/>
        </w:rPr>
        <w:t>Health Economics Review</w:t>
      </w:r>
      <w:r>
        <w:rPr>
          <w:rFonts w:ascii="Calibri" w:hAnsi="Calibri"/>
          <w:lang w:val="es-ES"/>
        </w:rPr>
        <w:t xml:space="preserve"> </w:t>
      </w:r>
      <w:r>
        <w:rPr>
          <w:rFonts w:ascii="Calibri" w:hAnsi="Calibri"/>
          <w:b/>
          <w:bCs/>
          <w:lang w:val="es-ES"/>
        </w:rPr>
        <w:t>2</w:t>
      </w:r>
      <w:r>
        <w:rPr>
          <w:rFonts w:ascii="Calibri" w:hAnsi="Calibri"/>
          <w:lang w:val="es-ES"/>
        </w:rPr>
        <w:t>(1): 17. Available from: http://healtheconomicsreview.springeropen.com/articles/10.1186/2191-1991-2-17.</w:t>
      </w:r>
    </w:p>
    <w:p>
      <w:pPr>
        <w:pStyle w:val="Normal"/>
        <w:widowControl w:val="false"/>
        <w:spacing w:lineRule="auto" w:line="360"/>
        <w:ind w:left="480" w:hanging="480"/>
        <w:rPr>
          <w:rFonts w:ascii="Calibri" w:hAnsi="Calibri"/>
          <w:lang w:val="es-ES"/>
        </w:rPr>
      </w:pPr>
      <w:r>
        <w:rPr>
          <w:rFonts w:ascii="Calibri" w:hAnsi="Calibri"/>
          <w:lang w:val="es-ES"/>
        </w:rPr>
        <w:t xml:space="preserve">Martínez Álvarez M et al. 2016. Is Development Assistance for Health fungible? Findings from a mixed methods case study in Tanzania. </w:t>
      </w:r>
      <w:r>
        <w:rPr>
          <w:rFonts w:ascii="Calibri" w:hAnsi="Calibri"/>
          <w:i/>
          <w:iCs/>
          <w:lang w:val="es-ES"/>
        </w:rPr>
        <w:t>Social Science and Medicine</w:t>
      </w:r>
      <w:r>
        <w:rPr>
          <w:rFonts w:ascii="Calibri" w:hAnsi="Calibri"/>
          <w:lang w:val="es-ES"/>
        </w:rPr>
        <w:t xml:space="preserve"> </w:t>
      </w:r>
      <w:r>
        <w:rPr>
          <w:rFonts w:ascii="Calibri" w:hAnsi="Calibri"/>
          <w:b/>
          <w:bCs/>
          <w:lang w:val="es-ES"/>
        </w:rPr>
        <w:t>159</w:t>
      </w:r>
      <w:r>
        <w:rPr>
          <w:rFonts w:ascii="Calibri" w:hAnsi="Calibri"/>
          <w:lang w:val="es-ES"/>
        </w:rPr>
        <w:t>: 161–169.</w:t>
      </w:r>
    </w:p>
    <w:p>
      <w:pPr>
        <w:pStyle w:val="Normal"/>
        <w:widowControl w:val="false"/>
        <w:spacing w:lineRule="auto" w:line="360"/>
        <w:ind w:left="480" w:hanging="480"/>
        <w:rPr>
          <w:rFonts w:ascii="Calibri" w:hAnsi="Calibri"/>
          <w:lang w:val="es-ES"/>
        </w:rPr>
      </w:pPr>
      <w:r>
        <w:rPr>
          <w:rFonts w:ascii="Calibri" w:hAnsi="Calibri"/>
          <w:lang w:val="es-ES"/>
        </w:rPr>
        <w:t xml:space="preserve">Matovu F et al. 2009. How equitable is bed net ownership and utilisation in Tanzania? A practical application of the principles of horizontal and vertical equity. </w:t>
      </w:r>
      <w:r>
        <w:rPr>
          <w:rFonts w:ascii="Calibri" w:hAnsi="Calibri"/>
          <w:i/>
          <w:iCs/>
          <w:lang w:val="es-ES"/>
        </w:rPr>
        <w:t>Malaria Journal</w:t>
      </w:r>
      <w:r>
        <w:rPr>
          <w:rFonts w:ascii="Calibri" w:hAnsi="Calibri"/>
          <w:lang w:val="es-ES"/>
        </w:rPr>
        <w:t xml:space="preserve"> </w:t>
      </w:r>
      <w:r>
        <w:rPr>
          <w:rFonts w:ascii="Calibri" w:hAnsi="Calibri"/>
          <w:b/>
          <w:bCs/>
          <w:lang w:val="es-ES"/>
        </w:rPr>
        <w:t>8</w:t>
      </w:r>
      <w:r>
        <w:rPr>
          <w:rFonts w:ascii="Calibri" w:hAnsi="Calibri"/>
          <w:lang w:val="es-ES"/>
        </w:rPr>
        <w:t>(1): 109. Available from: http://malariajournal.biomedcentral.com/articles/10.1186/1475-2875-8-109.</w:t>
      </w:r>
    </w:p>
    <w:p>
      <w:pPr>
        <w:pStyle w:val="Normal"/>
        <w:widowControl w:val="false"/>
        <w:spacing w:lineRule="auto" w:line="360"/>
        <w:ind w:left="480" w:hanging="480"/>
        <w:rPr>
          <w:rFonts w:ascii="Calibri" w:hAnsi="Calibri"/>
          <w:lang w:val="es-ES"/>
        </w:rPr>
      </w:pPr>
      <w:r>
        <w:rPr>
          <w:rFonts w:ascii="Calibri" w:hAnsi="Calibri"/>
          <w:lang w:val="es-ES"/>
        </w:rPr>
        <w:t xml:space="preserve">Maude RJ et al. 2010. The role of mathematical modelling in guiding the science and economics of malaria elimination. </w:t>
      </w:r>
      <w:r>
        <w:rPr>
          <w:rFonts w:ascii="Calibri" w:hAnsi="Calibri"/>
          <w:i/>
          <w:iCs/>
          <w:lang w:val="es-ES"/>
        </w:rPr>
        <w:t>International Health</w:t>
      </w:r>
      <w:r>
        <w:rPr>
          <w:rFonts w:ascii="Calibri" w:hAnsi="Calibri"/>
          <w:lang w:val="es-ES"/>
        </w:rPr>
        <w:t xml:space="preserve"> </w:t>
      </w:r>
      <w:r>
        <w:rPr>
          <w:rFonts w:ascii="Calibri" w:hAnsi="Calibri"/>
          <w:b/>
          <w:bCs/>
          <w:lang w:val="es-ES"/>
        </w:rPr>
        <w:t>2</w:t>
      </w:r>
      <w:r>
        <w:rPr>
          <w:rFonts w:ascii="Calibri" w:hAnsi="Calibri"/>
          <w:lang w:val="es-ES"/>
        </w:rPr>
        <w:t>(4): 239–246. Available from: http://dx.doi.org/10.1016/j.inhe.2010.09.005.</w:t>
      </w:r>
    </w:p>
    <w:p>
      <w:pPr>
        <w:pStyle w:val="Normal"/>
        <w:widowControl w:val="false"/>
        <w:spacing w:lineRule="auto" w:line="360"/>
        <w:ind w:left="480" w:hanging="480"/>
        <w:rPr>
          <w:rFonts w:ascii="Calibri" w:hAnsi="Calibri"/>
          <w:lang w:val="es-ES"/>
        </w:rPr>
      </w:pPr>
      <w:r>
        <w:rPr>
          <w:rFonts w:ascii="Calibri" w:hAnsi="Calibri"/>
          <w:lang w:val="es-ES"/>
        </w:rPr>
        <w:t xml:space="preserve">McIntyre D et al. 2006. What are the economic consequences for households of illness and of paying for health care in low- and middle-income country contexts?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62</w:t>
      </w:r>
      <w:r>
        <w:rPr>
          <w:rFonts w:ascii="Calibri" w:hAnsi="Calibri"/>
          <w:lang w:val="es-ES"/>
        </w:rPr>
        <w:t>(4): 858–865.</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2010. Cost-effectiveness analysis of combination therapies for visceral leishmaniasis in the Indian subcontinent.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4</w:t>
      </w:r>
      <w:r>
        <w:rPr>
          <w:rFonts w:ascii="Calibri" w:hAnsi="Calibri"/>
          <w:lang w:val="es-ES"/>
        </w:rPr>
        <w:t>(9). Available from: http://www.pubmedcentral.nih.gov/articlerender.fcgi?artid=2935395&amp;tool=pmcentrez&amp;rendertype=abstract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2006. Costs of patient management of visceral leishmaniasis in Muzaffarpur,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11</w:t>
      </w:r>
      <w:r>
        <w:rPr>
          <w:rFonts w:ascii="Calibri" w:hAnsi="Calibri"/>
          <w:lang w:val="es-ES"/>
        </w:rPr>
        <w:t>(11): 1715–1724.</w:t>
      </w:r>
    </w:p>
    <w:p>
      <w:pPr>
        <w:pStyle w:val="Normal"/>
        <w:widowControl w:val="false"/>
        <w:spacing w:lineRule="auto" w:line="360"/>
        <w:ind w:left="480" w:hanging="480"/>
        <w:rPr>
          <w:rFonts w:ascii="Calibri" w:hAnsi="Calibri"/>
          <w:lang w:val="es-ES"/>
        </w:rPr>
      </w:pPr>
      <w:r>
        <w:rPr>
          <w:rFonts w:ascii="Calibri" w:hAnsi="Calibri"/>
          <w:lang w:val="es-ES"/>
        </w:rPr>
        <w:t xml:space="preserve">Meheus F et al. 2013. The economic burden of visceral leishmaniasis in Sudan: An assessment of provider and household costs. </w:t>
      </w:r>
      <w:r>
        <w:rPr>
          <w:rFonts w:ascii="Calibri" w:hAnsi="Calibri"/>
          <w:i/>
          <w:iCs/>
          <w:lang w:val="es-ES"/>
        </w:rPr>
        <w:t>American Journal of Tropical Medicine and Hygiene</w:t>
      </w:r>
      <w:r>
        <w:rPr>
          <w:rFonts w:ascii="Calibri" w:hAnsi="Calibri"/>
          <w:lang w:val="es-ES"/>
        </w:rPr>
        <w:t xml:space="preserve"> </w:t>
      </w:r>
      <w:r>
        <w:rPr>
          <w:rFonts w:ascii="Calibri" w:hAnsi="Calibri"/>
          <w:b/>
          <w:bCs/>
          <w:lang w:val="es-ES"/>
        </w:rPr>
        <w:t>89</w:t>
      </w:r>
      <w:r>
        <w:rPr>
          <w:rFonts w:ascii="Calibri" w:hAnsi="Calibri"/>
          <w:lang w:val="es-ES"/>
        </w:rPr>
        <w:t>(6): 1146–1153.</w:t>
      </w:r>
    </w:p>
    <w:p>
      <w:pPr>
        <w:pStyle w:val="Normal"/>
        <w:widowControl w:val="false"/>
        <w:spacing w:lineRule="auto" w:line="360"/>
        <w:ind w:left="480" w:hanging="480"/>
        <w:rPr>
          <w:rFonts w:ascii="Calibri" w:hAnsi="Calibri"/>
          <w:lang w:val="es-ES"/>
        </w:rPr>
      </w:pPr>
      <w:r>
        <w:rPr>
          <w:rFonts w:ascii="Calibri" w:hAnsi="Calibri"/>
          <w:lang w:val="es-ES"/>
        </w:rPr>
        <w:t xml:space="preserve">Meheus F, Boelaert M. 2010. The burden of visceral leishmaniasis in South Asia. </w:t>
      </w:r>
      <w:r>
        <w:rPr>
          <w:rFonts w:ascii="Calibri" w:hAnsi="Calibri"/>
          <w:i/>
          <w:iCs/>
          <w:lang w:val="es-ES"/>
        </w:rPr>
        <w:t>Tropical Medicine &amp; International Health</w:t>
      </w:r>
      <w:r>
        <w:rPr>
          <w:rFonts w:ascii="Calibri" w:hAnsi="Calibri"/>
          <w:lang w:val="es-ES"/>
        </w:rPr>
        <w:t xml:space="preserve"> </w:t>
      </w:r>
      <w:r>
        <w:rPr>
          <w:rFonts w:ascii="Calibri" w:hAnsi="Calibri"/>
          <w:b/>
          <w:bCs/>
          <w:lang w:val="es-ES"/>
        </w:rPr>
        <w:t>15</w:t>
      </w:r>
      <w:r>
        <w:rPr>
          <w:rFonts w:ascii="Calibri" w:hAnsi="Calibri"/>
          <w:lang w:val="es-ES"/>
        </w:rPr>
        <w:t>(july): 1–3. Available from: http://doi.wiley.com/10.1111/j.1365-3156.2010.02564.x.</w:t>
      </w:r>
    </w:p>
    <w:p>
      <w:pPr>
        <w:pStyle w:val="Normal"/>
        <w:widowControl w:val="false"/>
        <w:spacing w:lineRule="auto" w:line="360"/>
        <w:ind w:left="480" w:hanging="480"/>
        <w:rPr>
          <w:rFonts w:ascii="Calibri" w:hAnsi="Calibri"/>
          <w:lang w:val="es-ES"/>
        </w:rPr>
      </w:pPr>
      <w:r>
        <w:rPr>
          <w:rFonts w:ascii="Calibri" w:hAnsi="Calibri"/>
          <w:lang w:val="es-ES"/>
        </w:rPr>
        <w:t xml:space="preserve">Mendes CS et al. 2011. Determinantes sociais da Leishmaniose Visceral no norte de Minas Gerais. </w:t>
      </w:r>
      <w:r>
        <w:rPr>
          <w:rFonts w:ascii="Calibri" w:hAnsi="Calibri"/>
          <w:i/>
          <w:iCs/>
          <w:lang w:val="es-ES"/>
        </w:rPr>
        <w:t>Revista de Economia E Agronegócio</w:t>
      </w:r>
      <w:r>
        <w:rPr>
          <w:rFonts w:ascii="Calibri" w:hAnsi="Calibri"/>
          <w:lang w:val="es-ES"/>
        </w:rPr>
        <w:t xml:space="preserve"> </w:t>
      </w:r>
      <w:r>
        <w:rPr>
          <w:rFonts w:ascii="Calibri" w:hAnsi="Calibri"/>
          <w:b/>
          <w:bCs/>
          <w:lang w:val="es-ES"/>
        </w:rPr>
        <w:t>9</w:t>
      </w:r>
      <w:r>
        <w:rPr>
          <w:rFonts w:ascii="Calibri" w:hAnsi="Calibri"/>
          <w:lang w:val="es-ES"/>
        </w:rPr>
        <w:t>(1): 101–122.</w:t>
      </w:r>
    </w:p>
    <w:p>
      <w:pPr>
        <w:pStyle w:val="Normal"/>
        <w:widowControl w:val="false"/>
        <w:spacing w:lineRule="auto" w:line="360"/>
        <w:ind w:left="480" w:hanging="480"/>
        <w:rPr>
          <w:rFonts w:ascii="Calibri" w:hAnsi="Calibri"/>
          <w:lang w:val="es-ES"/>
        </w:rPr>
      </w:pPr>
      <w:r>
        <w:rPr>
          <w:rFonts w:ascii="Calibri" w:hAnsi="Calibri"/>
          <w:lang w:val="es-ES"/>
        </w:rPr>
        <w:t>Ministère de la santé. 2010. Lutte contre les leishmanioses. Guide des activités.</w:t>
      </w:r>
    </w:p>
    <w:p>
      <w:pPr>
        <w:pStyle w:val="Normal"/>
        <w:widowControl w:val="false"/>
        <w:spacing w:lineRule="auto" w:line="360"/>
        <w:ind w:left="480" w:hanging="480"/>
        <w:rPr>
          <w:rFonts w:ascii="Calibri" w:hAnsi="Calibri"/>
          <w:lang w:val="es-ES"/>
        </w:rPr>
      </w:pPr>
      <w:r>
        <w:rPr>
          <w:rFonts w:ascii="Calibri" w:hAnsi="Calibri"/>
          <w:lang w:val="es-ES"/>
        </w:rPr>
        <w:t xml:space="preserve">Mittendorf T et al. 2003. Economic evaluation of Human Papillomavirus screening in Germany. </w:t>
      </w:r>
      <w:r>
        <w:rPr>
          <w:rFonts w:ascii="Calibri" w:hAnsi="Calibri"/>
          <w:i/>
          <w:iCs/>
          <w:lang w:val="es-ES"/>
        </w:rPr>
        <w:t>The European Journal of Health Economics</w:t>
      </w:r>
      <w:r>
        <w:rPr>
          <w:rFonts w:ascii="Calibri" w:hAnsi="Calibri"/>
          <w:lang w:val="es-ES"/>
        </w:rPr>
        <w:t xml:space="preserve"> </w:t>
      </w:r>
      <w:r>
        <w:rPr>
          <w:rFonts w:ascii="Calibri" w:hAnsi="Calibri"/>
          <w:b/>
          <w:bCs/>
          <w:lang w:val="es-ES"/>
        </w:rPr>
        <w:t>4</w:t>
      </w:r>
      <w:r>
        <w:rPr>
          <w:rFonts w:ascii="Calibri" w:hAnsi="Calibri"/>
          <w:lang w:val="es-ES"/>
        </w:rPr>
        <w:t>(3): 209–215.</w:t>
      </w:r>
    </w:p>
    <w:p>
      <w:pPr>
        <w:pStyle w:val="Normal"/>
        <w:widowControl w:val="false"/>
        <w:spacing w:lineRule="auto" w:line="360"/>
        <w:ind w:left="480" w:hanging="480"/>
        <w:rPr>
          <w:rFonts w:ascii="Calibri" w:hAnsi="Calibri"/>
          <w:lang w:val="es-ES"/>
        </w:rPr>
      </w:pPr>
      <w:r>
        <w:rPr>
          <w:rFonts w:ascii="Calibri" w:hAnsi="Calibri"/>
          <w:lang w:val="es-ES"/>
        </w:rPr>
        <w:t xml:space="preserve">Mniouil M et al. 2017. Epidemiological characteristics of Visceral Leishmaniasis in Morocco (1990–2014): An Update. </w:t>
      </w:r>
      <w:r>
        <w:rPr>
          <w:rFonts w:ascii="Calibri" w:hAnsi="Calibri"/>
          <w:i/>
          <w:iCs/>
          <w:lang w:val="es-ES"/>
        </w:rPr>
        <w:t>Acta Tropica</w:t>
      </w:r>
      <w:r>
        <w:rPr>
          <w:rFonts w:ascii="Calibri" w:hAnsi="Calibri"/>
          <w:lang w:val="es-ES"/>
        </w:rPr>
        <w:t xml:space="preserve"> </w:t>
      </w:r>
      <w:r>
        <w:rPr>
          <w:rFonts w:ascii="Calibri" w:hAnsi="Calibri"/>
          <w:b/>
          <w:bCs/>
          <w:lang w:val="es-ES"/>
        </w:rPr>
        <w:t>170</w:t>
      </w:r>
      <w:r>
        <w:rPr>
          <w:rFonts w:ascii="Calibri" w:hAnsi="Calibri"/>
          <w:lang w:val="es-ES"/>
        </w:rPr>
        <w:t>: 169–177. Available from: http://linkinghub.elsevier.com/retrieve/pii/S0001706X16304685.</w:t>
      </w:r>
    </w:p>
    <w:p>
      <w:pPr>
        <w:pStyle w:val="Normal"/>
        <w:widowControl w:val="false"/>
        <w:spacing w:lineRule="auto" w:line="360"/>
        <w:ind w:left="480" w:hanging="480"/>
        <w:rPr>
          <w:rFonts w:ascii="Calibri" w:hAnsi="Calibri"/>
          <w:lang w:val="es-ES"/>
        </w:rPr>
      </w:pPr>
      <w:r>
        <w:rPr>
          <w:rFonts w:ascii="Calibri" w:hAnsi="Calibri"/>
          <w:lang w:val="es-ES"/>
        </w:rPr>
        <w:t>Moghtaderi A, Dor A. 2016. Immunization and Moral Hazard: the HPV Vaccine and Uptake of Cancer Screening. NBER Working Paper 22523. Cambridge, MA.</w:t>
      </w:r>
    </w:p>
    <w:p>
      <w:pPr>
        <w:pStyle w:val="Normal"/>
        <w:widowControl w:val="false"/>
        <w:spacing w:lineRule="auto" w:line="360"/>
        <w:ind w:left="480" w:hanging="480"/>
        <w:rPr>
          <w:rFonts w:ascii="Calibri" w:hAnsi="Calibri"/>
          <w:lang w:val="es-ES"/>
        </w:rPr>
      </w:pPr>
      <w:r>
        <w:rPr>
          <w:rFonts w:ascii="Calibri" w:hAnsi="Calibri"/>
          <w:lang w:val="es-ES"/>
        </w:rPr>
        <w:t xml:space="preserve">Mondal D et al. 2008. Present situation of vector-control management in Bangladesh: A wake up call. </w:t>
      </w:r>
      <w:r>
        <w:rPr>
          <w:rFonts w:ascii="Calibri" w:hAnsi="Calibri"/>
          <w:i/>
          <w:iCs/>
          <w:lang w:val="es-ES"/>
        </w:rPr>
        <w:t>Health Policy</w:t>
      </w:r>
      <w:r>
        <w:rPr>
          <w:rFonts w:ascii="Calibri" w:hAnsi="Calibri"/>
          <w:lang w:val="es-ES"/>
        </w:rPr>
        <w:t xml:space="preserve"> </w:t>
      </w:r>
      <w:r>
        <w:rPr>
          <w:rFonts w:ascii="Calibri" w:hAnsi="Calibri"/>
          <w:b/>
          <w:bCs/>
          <w:lang w:val="es-ES"/>
        </w:rPr>
        <w:t>87</w:t>
      </w:r>
      <w:r>
        <w:rPr>
          <w:rFonts w:ascii="Calibri" w:hAnsi="Calibri"/>
          <w:lang w:val="es-ES"/>
        </w:rPr>
        <w:t>(3): 369–376.</w:t>
      </w:r>
    </w:p>
    <w:p>
      <w:pPr>
        <w:pStyle w:val="Normal"/>
        <w:widowControl w:val="false"/>
        <w:spacing w:lineRule="auto" w:line="360"/>
        <w:ind w:left="480" w:hanging="480"/>
        <w:rPr>
          <w:rFonts w:ascii="Calibri" w:hAnsi="Calibri"/>
          <w:lang w:val="es-ES"/>
        </w:rPr>
      </w:pPr>
      <w:r>
        <w:rPr>
          <w:rFonts w:ascii="Calibri" w:hAnsi="Calibri"/>
          <w:lang w:val="es-ES"/>
        </w:rPr>
        <w:t xml:space="preserve">Moran M. 2005. A breakthrough in R&amp;D for neglected diseases: New ways to get the drugs we need. </w:t>
      </w:r>
      <w:r>
        <w:rPr>
          <w:rFonts w:ascii="Calibri" w:hAnsi="Calibri"/>
          <w:i/>
          <w:iCs/>
          <w:lang w:val="es-ES"/>
        </w:rPr>
        <w:t>PLoS Medicine</w:t>
      </w:r>
      <w:r>
        <w:rPr>
          <w:rFonts w:ascii="Calibri" w:hAnsi="Calibri"/>
          <w:lang w:val="es-ES"/>
        </w:rPr>
        <w:t xml:space="preserve"> </w:t>
      </w:r>
      <w:r>
        <w:rPr>
          <w:rFonts w:ascii="Calibri" w:hAnsi="Calibri"/>
          <w:b/>
          <w:bCs/>
          <w:lang w:val="es-ES"/>
        </w:rPr>
        <w:t>2</w:t>
      </w:r>
      <w:r>
        <w:rPr>
          <w:rFonts w:ascii="Calibri" w:hAnsi="Calibri"/>
          <w:lang w:val="es-ES"/>
        </w:rPr>
        <w:t>(9): 0828–0832.</w:t>
      </w:r>
    </w:p>
    <w:p>
      <w:pPr>
        <w:pStyle w:val="Normal"/>
        <w:widowControl w:val="false"/>
        <w:spacing w:lineRule="auto" w:line="360"/>
        <w:ind w:left="480" w:hanging="480"/>
        <w:rPr>
          <w:rFonts w:ascii="Calibri" w:hAnsi="Calibri"/>
          <w:lang w:val="es-ES"/>
        </w:rPr>
      </w:pPr>
      <w:r>
        <w:rPr>
          <w:rFonts w:ascii="Calibri" w:hAnsi="Calibri"/>
          <w:lang w:val="es-ES"/>
        </w:rPr>
        <w:t xml:space="preserve">Morand O. 2004. Economic growth, longevity and the epidemiological transition. </w:t>
      </w:r>
      <w:r>
        <w:rPr>
          <w:rFonts w:ascii="Calibri" w:hAnsi="Calibri"/>
          <w:i/>
          <w:iCs/>
          <w:lang w:val="es-ES"/>
        </w:rPr>
        <w:t>The European Journal of Health Economics, Formerly: HEPAC</w:t>
      </w:r>
      <w:r>
        <w:rPr>
          <w:rFonts w:ascii="Calibri" w:hAnsi="Calibri"/>
          <w:lang w:val="es-ES"/>
        </w:rPr>
        <w:t xml:space="preserve"> </w:t>
      </w:r>
      <w:r>
        <w:rPr>
          <w:rFonts w:ascii="Calibri" w:hAnsi="Calibri"/>
          <w:b/>
          <w:bCs/>
          <w:lang w:val="es-ES"/>
        </w:rPr>
        <w:t>5</w:t>
      </w:r>
      <w:r>
        <w:rPr>
          <w:rFonts w:ascii="Calibri" w:hAnsi="Calibri"/>
          <w:lang w:val="es-ES"/>
        </w:rPr>
        <w:t>(2): 166–174. Available from: http://link.springer.com/10.1007/s10198-003-0219-9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Morris A et al. 2014. Price subsidies increase the use of private sector ACTs: evidence from a systematic review. </w:t>
      </w:r>
      <w:r>
        <w:rPr>
          <w:rFonts w:ascii="Calibri" w:hAnsi="Calibri"/>
          <w:i/>
          <w:iCs/>
          <w:lang w:val="es-ES"/>
        </w:rPr>
        <w:t>Health Policy and Planning</w:t>
      </w:r>
      <w:r>
        <w:rPr>
          <w:rFonts w:ascii="Calibri" w:hAnsi="Calibri"/>
          <w:lang w:val="es-ES"/>
        </w:rPr>
        <w:t>: 1–9. Available from: http://www.ncbi.nlm.nih.gov/pubmed/24633915 [Accessed 5 May 2014].</w:t>
      </w:r>
    </w:p>
    <w:p>
      <w:pPr>
        <w:pStyle w:val="Normal"/>
        <w:widowControl w:val="false"/>
        <w:spacing w:lineRule="auto" w:line="360"/>
        <w:ind w:left="480" w:hanging="480"/>
        <w:rPr>
          <w:rFonts w:ascii="Calibri" w:hAnsi="Calibri"/>
          <w:lang w:val="es-ES"/>
        </w:rPr>
      </w:pPr>
      <w:r>
        <w:rPr>
          <w:rFonts w:ascii="Calibri" w:hAnsi="Calibri"/>
          <w:lang w:val="es-ES"/>
        </w:rPr>
        <w:t xml:space="preserve">Morton A et al. 2016. Decision rules for allocation of finances to health systems strengthening. </w:t>
      </w:r>
      <w:r>
        <w:rPr>
          <w:rFonts w:ascii="Calibri" w:hAnsi="Calibri"/>
          <w:i/>
          <w:iCs/>
          <w:lang w:val="es-ES"/>
        </w:rPr>
        <w:t>Journal of Health Economics</w:t>
      </w:r>
      <w:r>
        <w:rPr>
          <w:rFonts w:ascii="Calibri" w:hAnsi="Calibri"/>
          <w:lang w:val="es-ES"/>
        </w:rPr>
        <w:t xml:space="preserve"> </w:t>
      </w:r>
      <w:r>
        <w:rPr>
          <w:rFonts w:ascii="Calibri" w:hAnsi="Calibri"/>
          <w:b/>
          <w:bCs/>
          <w:lang w:val="es-ES"/>
        </w:rPr>
        <w:t>49</w:t>
      </w:r>
      <w:r>
        <w:rPr>
          <w:rFonts w:ascii="Calibri" w:hAnsi="Calibri"/>
          <w:lang w:val="es-ES"/>
        </w:rPr>
        <w:t>: 97–108. Available from: http://dx.doi.org/10.1016/j.jhealeco.2016.06.001.</w:t>
      </w:r>
    </w:p>
    <w:p>
      <w:pPr>
        <w:pStyle w:val="Normal"/>
        <w:widowControl w:val="false"/>
        <w:spacing w:lineRule="auto" w:line="360"/>
        <w:ind w:left="480" w:hanging="480"/>
        <w:rPr>
          <w:rFonts w:ascii="Calibri" w:hAnsi="Calibri"/>
          <w:lang w:val="es-ES"/>
        </w:rPr>
      </w:pPr>
      <w:r>
        <w:rPr>
          <w:rFonts w:ascii="Calibri" w:hAnsi="Calibri"/>
          <w:lang w:val="es-ES"/>
        </w:rPr>
        <w:t xml:space="preserve">Murray CJL et al. 2014. Global, regional, and national incidence and mortality for HIV, tuberculosis, and malaria during 1990-2013: a systematic analysis for the Global Burden of Disease Study 2013. </w:t>
      </w:r>
      <w:r>
        <w:rPr>
          <w:rFonts w:ascii="Calibri" w:hAnsi="Calibri"/>
          <w:i/>
          <w:iCs/>
          <w:lang w:val="es-ES"/>
        </w:rPr>
        <w:t>Lancet (London, England)</w:t>
      </w:r>
      <w:r>
        <w:rPr>
          <w:rFonts w:ascii="Calibri" w:hAnsi="Calibri"/>
          <w:lang w:val="es-ES"/>
        </w:rPr>
        <w:t xml:space="preserve"> </w:t>
      </w:r>
      <w:r>
        <w:rPr>
          <w:rFonts w:ascii="Calibri" w:hAnsi="Calibri"/>
          <w:b/>
          <w:bCs/>
          <w:lang w:val="es-ES"/>
        </w:rPr>
        <w:t>384</w:t>
      </w:r>
      <w:r>
        <w:rPr>
          <w:rFonts w:ascii="Calibri" w:hAnsi="Calibri"/>
          <w:lang w:val="es-ES"/>
        </w:rPr>
        <w:t>(9947): 1005–70. Available from: http://www.ncbi.nlm.nih.gov/pubmed/25059949 [Accessed 8 November 2017].</w:t>
      </w:r>
    </w:p>
    <w:p>
      <w:pPr>
        <w:pStyle w:val="Normal"/>
        <w:widowControl w:val="false"/>
        <w:spacing w:lineRule="auto" w:line="360"/>
        <w:ind w:left="480" w:hanging="480"/>
        <w:rPr>
          <w:rFonts w:ascii="Calibri" w:hAnsi="Calibri"/>
          <w:lang w:val="es-ES"/>
        </w:rPr>
      </w:pPr>
      <w:r>
        <w:rPr>
          <w:rFonts w:ascii="Calibri" w:hAnsi="Calibri"/>
          <w:lang w:val="es-ES"/>
        </w:rPr>
        <w:t>Mveyange A et al. 2015. Does HIV/AIDS matter for economic growth in sub-Saharan Africa?. Working Paper 2015/086. UNU-WIDER.</w:t>
      </w:r>
    </w:p>
    <w:p>
      <w:pPr>
        <w:pStyle w:val="Normal"/>
        <w:widowControl w:val="false"/>
        <w:spacing w:lineRule="auto" w:line="360"/>
        <w:ind w:left="480" w:hanging="480"/>
        <w:rPr>
          <w:rFonts w:ascii="Calibri" w:hAnsi="Calibri"/>
          <w:lang w:val="es-ES"/>
        </w:rPr>
      </w:pPr>
      <w:r>
        <w:rPr>
          <w:rFonts w:ascii="Calibri" w:hAnsi="Calibri"/>
          <w:lang w:val="es-ES"/>
        </w:rPr>
        <w:t xml:space="preserve">Mwabu G. 2007. </w:t>
      </w:r>
      <w:r>
        <w:rPr>
          <w:rFonts w:ascii="Calibri" w:hAnsi="Calibri"/>
          <w:i/>
          <w:iCs/>
          <w:lang w:val="es-ES"/>
        </w:rPr>
        <w:t>Handbook of Development Economics. Chapter 53 Health Economics for Low-Income Countries</w:t>
      </w:r>
      <w:r>
        <w:rPr>
          <w:rFonts w:ascii="Calibri" w:hAnsi="Calibri"/>
          <w:lang w:val="es-ES"/>
        </w:rPr>
        <w:t>. Schultz TP, Strauss JA (eds). Available from: http://linkinghub.elsevier.com/retrieve/pii/S1573447107040533.</w:t>
      </w:r>
    </w:p>
    <w:p>
      <w:pPr>
        <w:pStyle w:val="Normal"/>
        <w:widowControl w:val="false"/>
        <w:spacing w:lineRule="auto" w:line="360"/>
        <w:ind w:left="480" w:hanging="480"/>
        <w:rPr>
          <w:rFonts w:ascii="Calibri" w:hAnsi="Calibri"/>
          <w:lang w:val="es-ES"/>
        </w:rPr>
      </w:pPr>
      <w:r>
        <w:rPr>
          <w:rFonts w:ascii="Calibri" w:hAnsi="Calibri"/>
          <w:lang w:val="es-ES"/>
        </w:rPr>
        <w:t xml:space="preserve">Nugent R, Feigl A. 2010. Where Have All the Donors Gone? Scarce Donor Funding for Non-Communicable Diseases Working Paper 228 November 2010. </w:t>
      </w:r>
      <w:r>
        <w:rPr>
          <w:rFonts w:ascii="Calibri" w:hAnsi="Calibri"/>
          <w:i/>
          <w:iCs/>
          <w:lang w:val="es-ES"/>
        </w:rPr>
        <w:t>Center for Global Development</w:t>
      </w:r>
      <w:r>
        <w:rPr>
          <w:rFonts w:ascii="Calibri" w:hAnsi="Calibri"/>
          <w:lang w:val="es-ES"/>
        </w:rPr>
        <w:t xml:space="preserve"> (November 2010). Available from: http://hdl.handle.net/123456789/30109.</w:t>
      </w:r>
    </w:p>
    <w:p>
      <w:pPr>
        <w:pStyle w:val="Normal"/>
        <w:widowControl w:val="false"/>
        <w:spacing w:lineRule="auto" w:line="360"/>
        <w:ind w:left="480" w:hanging="480"/>
        <w:rPr>
          <w:rFonts w:ascii="Calibri" w:hAnsi="Calibri"/>
          <w:lang w:val="es-ES"/>
        </w:rPr>
      </w:pPr>
      <w:r>
        <w:rPr>
          <w:rFonts w:ascii="Calibri" w:hAnsi="Calibri"/>
          <w:lang w:val="es-ES"/>
        </w:rPr>
        <w:t xml:space="preserve">Olliaro P et al. 2009. Cost-effectiveness projections of single and combination therapies for visceral leishmaniasis in Bihar, India. </w:t>
      </w:r>
      <w:r>
        <w:rPr>
          <w:rFonts w:ascii="Calibri" w:hAnsi="Calibri"/>
          <w:i/>
          <w:iCs/>
          <w:lang w:val="es-ES"/>
        </w:rPr>
        <w:t>Tropical Medicine &amp; International Health : TM &amp; IH</w:t>
      </w:r>
      <w:r>
        <w:rPr>
          <w:rFonts w:ascii="Calibri" w:hAnsi="Calibri"/>
          <w:lang w:val="es-ES"/>
        </w:rPr>
        <w:t xml:space="preserve"> </w:t>
      </w:r>
      <w:r>
        <w:rPr>
          <w:rFonts w:ascii="Calibri" w:hAnsi="Calibri"/>
          <w:b/>
          <w:bCs/>
          <w:lang w:val="es-ES"/>
        </w:rPr>
        <w:t>14</w:t>
      </w:r>
      <w:r>
        <w:rPr>
          <w:rFonts w:ascii="Calibri" w:hAnsi="Calibri"/>
          <w:lang w:val="es-ES"/>
        </w:rPr>
        <w:t>(8): 918–25. Available from: http://www.ncbi.nlm.nih.gov/pubmed/19563434 [Accessed 18 March 2014].</w:t>
      </w:r>
    </w:p>
    <w:p>
      <w:pPr>
        <w:pStyle w:val="Normal"/>
        <w:widowControl w:val="false"/>
        <w:spacing w:lineRule="auto" w:line="360"/>
        <w:ind w:left="480" w:hanging="480"/>
        <w:rPr>
          <w:rFonts w:ascii="Calibri" w:hAnsi="Calibri"/>
          <w:lang w:val="es-ES"/>
        </w:rPr>
      </w:pPr>
      <w:r>
        <w:rPr>
          <w:rFonts w:ascii="Calibri" w:hAnsi="Calibri"/>
          <w:lang w:val="es-ES"/>
        </w:rPr>
        <w:t xml:space="preserve">Onwujekwe O et al. 2007. Inequities in valuation of benefits, choice of drugs, and mode of payment for malaria treatment services provided by community health workers in Nigeria. </w:t>
      </w:r>
      <w:r>
        <w:rPr>
          <w:rFonts w:ascii="Calibri" w:hAnsi="Calibri"/>
          <w:i/>
          <w:iCs/>
          <w:lang w:val="es-ES"/>
        </w:rPr>
        <w:t>The American Journal of Tropical Medicine and Hygiene</w:t>
      </w:r>
      <w:r>
        <w:rPr>
          <w:rFonts w:ascii="Calibri" w:hAnsi="Calibri"/>
          <w:lang w:val="es-ES"/>
        </w:rPr>
        <w:t xml:space="preserve"> </w:t>
      </w:r>
      <w:r>
        <w:rPr>
          <w:rFonts w:ascii="Calibri" w:hAnsi="Calibri"/>
          <w:b/>
          <w:bCs/>
          <w:lang w:val="es-ES"/>
        </w:rPr>
        <w:t>77</w:t>
      </w:r>
      <w:r>
        <w:rPr>
          <w:rFonts w:ascii="Calibri" w:hAnsi="Calibri"/>
          <w:lang w:val="es-ES"/>
        </w:rPr>
        <w:t>(1): 16–21. Available from: http://www.ncbi.nlm.nih.gov/pubmed/17620625.</w:t>
      </w:r>
    </w:p>
    <w:p>
      <w:pPr>
        <w:pStyle w:val="Normal"/>
        <w:widowControl w:val="false"/>
        <w:spacing w:lineRule="auto" w:line="360"/>
        <w:ind w:left="480" w:hanging="480"/>
        <w:rPr>
          <w:rFonts w:ascii="Calibri" w:hAnsi="Calibri"/>
          <w:lang w:val="es-ES"/>
        </w:rPr>
      </w:pPr>
      <w:r>
        <w:rPr>
          <w:rFonts w:ascii="Calibri" w:hAnsi="Calibri"/>
          <w:lang w:val="es-ES"/>
        </w:rPr>
        <w:t xml:space="preserve">Onwujekwe O, Uzochuckwu B. 2004. Stated and actual altruistic willingness to pay for insecticide-treated nets in Nigeria: Validity of open-ended and binary with follow-up questions. </w:t>
      </w:r>
      <w:r>
        <w:rPr>
          <w:rFonts w:ascii="Calibri" w:hAnsi="Calibri"/>
          <w:i/>
          <w:iCs/>
          <w:lang w:val="es-ES"/>
        </w:rPr>
        <w:t>Health Economics</w:t>
      </w:r>
      <w:r>
        <w:rPr>
          <w:rFonts w:ascii="Calibri" w:hAnsi="Calibri"/>
          <w:lang w:val="es-ES"/>
        </w:rPr>
        <w:t xml:space="preserve"> </w:t>
      </w:r>
      <w:r>
        <w:rPr>
          <w:rFonts w:ascii="Calibri" w:hAnsi="Calibri"/>
          <w:b/>
          <w:bCs/>
          <w:lang w:val="es-ES"/>
        </w:rPr>
        <w:t>13</w:t>
      </w:r>
      <w:r>
        <w:rPr>
          <w:rFonts w:ascii="Calibri" w:hAnsi="Calibri"/>
          <w:lang w:val="es-ES"/>
        </w:rPr>
        <w:t>(5): 477–492.</w:t>
      </w:r>
    </w:p>
    <w:p>
      <w:pPr>
        <w:pStyle w:val="Normal"/>
        <w:widowControl w:val="false"/>
        <w:spacing w:lineRule="auto" w:line="360"/>
        <w:ind w:left="480" w:hanging="480"/>
        <w:rPr>
          <w:rFonts w:ascii="Calibri" w:hAnsi="Calibri"/>
          <w:lang w:val="es-ES"/>
        </w:rPr>
      </w:pPr>
      <w:r>
        <w:rPr>
          <w:rFonts w:ascii="Calibri" w:hAnsi="Calibri"/>
          <w:lang w:val="es-ES"/>
        </w:rPr>
        <w:t xml:space="preserve">Ottersen T et al. 2017. Global health financing towards 2030 and beyond. </w:t>
      </w:r>
      <w:r>
        <w:rPr>
          <w:rFonts w:ascii="Calibri" w:hAnsi="Calibri"/>
          <w:i/>
          <w:iCs/>
          <w:lang w:val="es-ES"/>
        </w:rPr>
        <w:t>Health Economics, Policy and Law</w:t>
      </w:r>
      <w:r>
        <w:rPr>
          <w:rFonts w:ascii="Calibri" w:hAnsi="Calibri"/>
          <w:lang w:val="es-ES"/>
        </w:rPr>
        <w:t xml:space="preserve"> </w:t>
      </w:r>
      <w:r>
        <w:rPr>
          <w:rFonts w:ascii="Calibri" w:hAnsi="Calibri"/>
          <w:b/>
          <w:bCs/>
          <w:lang w:val="es-ES"/>
        </w:rPr>
        <w:t>12</w:t>
      </w:r>
      <w:r>
        <w:rPr>
          <w:rFonts w:ascii="Calibri" w:hAnsi="Calibri"/>
          <w:lang w:val="es-ES"/>
        </w:rPr>
        <w:t>(2): 105–111. Available from: https://www.cambridge.org/core/product/identifier/S1744133116000372/type/journal_article.</w:t>
      </w:r>
    </w:p>
    <w:p>
      <w:pPr>
        <w:pStyle w:val="Normal"/>
        <w:widowControl w:val="false"/>
        <w:spacing w:lineRule="auto" w:line="360"/>
        <w:ind w:left="480" w:hanging="480"/>
        <w:rPr>
          <w:rFonts w:ascii="Calibri" w:hAnsi="Calibri"/>
          <w:lang w:val="es-ES"/>
        </w:rPr>
      </w:pPr>
      <w:r>
        <w:rPr>
          <w:rFonts w:ascii="Calibri" w:hAnsi="Calibri"/>
          <w:lang w:val="es-ES"/>
        </w:rPr>
        <w:t xml:space="preserve">Patouillard E et al. 2010. Retail sector distribution chains for malaria treatment in the developing world: a review of the literature. </w:t>
      </w:r>
      <w:r>
        <w:rPr>
          <w:rFonts w:ascii="Calibri" w:hAnsi="Calibri"/>
          <w:i/>
          <w:iCs/>
          <w:lang w:val="es-ES"/>
        </w:rPr>
        <w:t>Malaria Journal</w:t>
      </w:r>
      <w:r>
        <w:rPr>
          <w:rFonts w:ascii="Calibri" w:hAnsi="Calibri"/>
          <w:lang w:val="es-ES"/>
        </w:rPr>
        <w:t xml:space="preserve"> </w:t>
      </w:r>
      <w:r>
        <w:rPr>
          <w:rFonts w:ascii="Calibri" w:hAnsi="Calibri"/>
          <w:b/>
          <w:bCs/>
          <w:lang w:val="es-ES"/>
        </w:rPr>
        <w:t>9</w:t>
      </w:r>
      <w:r>
        <w:rPr>
          <w:rFonts w:ascii="Calibri" w:hAnsi="Calibri"/>
          <w:lang w:val="es-ES"/>
        </w:rPr>
        <w:t>: 50. Available from: http://www.pubmedcentral.nih.gov/articlerender.fcgi?artid=2836367&amp;tool=pmcentrez&amp;rendertype=abstract.</w:t>
      </w:r>
    </w:p>
    <w:p>
      <w:pPr>
        <w:pStyle w:val="Normal"/>
        <w:widowControl w:val="false"/>
        <w:spacing w:lineRule="auto" w:line="360"/>
        <w:ind w:left="480" w:hanging="480"/>
        <w:rPr>
          <w:rFonts w:ascii="Calibri" w:hAnsi="Calibri"/>
          <w:lang w:val="es-ES"/>
        </w:rPr>
      </w:pPr>
      <w:r>
        <w:rPr>
          <w:rFonts w:ascii="Calibri" w:hAnsi="Calibri"/>
          <w:lang w:val="es-ES"/>
        </w:rPr>
        <w:t xml:space="preserve">Peters DH et al. 2008. Poverty and access to health care in developing countries. </w:t>
      </w:r>
      <w:r>
        <w:rPr>
          <w:rFonts w:ascii="Calibri" w:hAnsi="Calibri"/>
          <w:i/>
          <w:iCs/>
          <w:lang w:val="es-ES"/>
        </w:rPr>
        <w:t>Annals of the New York Academy of Sciences</w:t>
      </w:r>
      <w:r>
        <w:rPr>
          <w:rFonts w:ascii="Calibri" w:hAnsi="Calibri"/>
          <w:lang w:val="es-ES"/>
        </w:rPr>
        <w:t xml:space="preserve"> </w:t>
      </w:r>
      <w:r>
        <w:rPr>
          <w:rFonts w:ascii="Calibri" w:hAnsi="Calibri"/>
          <w:b/>
          <w:bCs/>
          <w:lang w:val="es-ES"/>
        </w:rPr>
        <w:t>1136</w:t>
      </w:r>
      <w:r>
        <w:rPr>
          <w:rFonts w:ascii="Calibri" w:hAnsi="Calibri"/>
          <w:lang w:val="es-ES"/>
        </w:rPr>
        <w:t>: 161–171.</w:t>
      </w:r>
    </w:p>
    <w:p>
      <w:pPr>
        <w:pStyle w:val="Normal"/>
        <w:widowControl w:val="false"/>
        <w:spacing w:lineRule="auto" w:line="360"/>
        <w:ind w:left="480" w:hanging="480"/>
        <w:rPr>
          <w:rFonts w:ascii="Calibri" w:hAnsi="Calibri"/>
          <w:lang w:val="es-ES"/>
        </w:rPr>
      </w:pPr>
      <w:r>
        <w:rPr>
          <w:rFonts w:ascii="Calibri" w:hAnsi="Calibri"/>
          <w:lang w:val="es-ES"/>
        </w:rPr>
        <w:t xml:space="preserve">Pincin J. 2013. Political power and aid tying practices in the development assistance committee countries Jared. </w:t>
      </w:r>
      <w:r>
        <w:rPr>
          <w:rFonts w:ascii="Calibri" w:hAnsi="Calibri"/>
          <w:i/>
          <w:iCs/>
          <w:lang w:val="es-ES"/>
        </w:rPr>
        <w:t>Oxford Development Studies</w:t>
      </w:r>
      <w:r>
        <w:rPr>
          <w:rFonts w:ascii="Calibri" w:hAnsi="Calibri"/>
          <w:lang w:val="es-ES"/>
        </w:rPr>
        <w:t xml:space="preserve"> </w:t>
      </w:r>
      <w:r>
        <w:rPr>
          <w:rFonts w:ascii="Calibri" w:hAnsi="Calibri"/>
          <w:b/>
          <w:bCs/>
          <w:lang w:val="es-ES"/>
        </w:rPr>
        <w:t>41</w:t>
      </w:r>
      <w:r>
        <w:rPr>
          <w:rFonts w:ascii="Calibri" w:hAnsi="Calibri"/>
          <w:lang w:val="es-ES"/>
        </w:rPr>
        <w:t>(3): 372–390.</w:t>
      </w:r>
    </w:p>
    <w:p>
      <w:pPr>
        <w:pStyle w:val="Normal"/>
        <w:widowControl w:val="false"/>
        <w:spacing w:lineRule="auto" w:line="360"/>
        <w:ind w:left="480" w:hanging="480"/>
        <w:rPr>
          <w:rFonts w:ascii="Calibri" w:hAnsi="Calibri"/>
          <w:lang w:val="es-ES"/>
        </w:rPr>
      </w:pPr>
      <w:r>
        <w:rPr>
          <w:rFonts w:ascii="Calibri" w:hAnsi="Calibri"/>
          <w:lang w:val="es-ES"/>
        </w:rPr>
        <w:t xml:space="preserve">Pink J et al. 2016. Cost Effectiveness of HPV Vaccination: A Systematic Review of Modelling Approaches. </w:t>
      </w:r>
      <w:r>
        <w:rPr>
          <w:rFonts w:ascii="Calibri" w:hAnsi="Calibri"/>
          <w:i/>
          <w:iCs/>
          <w:lang w:val="es-ES"/>
        </w:rPr>
        <w:t>PharmacoEconomics</w:t>
      </w:r>
      <w:r>
        <w:rPr>
          <w:rFonts w:ascii="Calibri" w:hAnsi="Calibri"/>
          <w:lang w:val="es-ES"/>
        </w:rPr>
        <w:t xml:space="preserve"> </w:t>
      </w:r>
      <w:r>
        <w:rPr>
          <w:rFonts w:ascii="Calibri" w:hAnsi="Calibri"/>
          <w:b/>
          <w:bCs/>
          <w:lang w:val="es-ES"/>
        </w:rPr>
        <w:t>34</w:t>
      </w:r>
      <w:r>
        <w:rPr>
          <w:rFonts w:ascii="Calibri" w:hAnsi="Calibri"/>
          <w:lang w:val="es-ES"/>
        </w:rPr>
        <w:t>(9): 847–861.</w:t>
      </w:r>
    </w:p>
    <w:p>
      <w:pPr>
        <w:pStyle w:val="Normal"/>
        <w:widowControl w:val="false"/>
        <w:spacing w:lineRule="auto" w:line="360"/>
        <w:ind w:left="480" w:hanging="480"/>
        <w:rPr>
          <w:rFonts w:ascii="Calibri" w:hAnsi="Calibri"/>
          <w:lang w:val="es-ES"/>
        </w:rPr>
      </w:pPr>
      <w:r>
        <w:rPr>
          <w:rFonts w:ascii="Calibri" w:hAnsi="Calibri"/>
          <w:lang w:val="es-ES"/>
        </w:rPr>
        <w:t xml:space="preserve">Pitt C et al. 2016. Economic evaluation in global perspective: a bibliometric analysis of the recent literature. </w:t>
      </w:r>
      <w:r>
        <w:rPr>
          <w:rFonts w:ascii="Calibri" w:hAnsi="Calibri"/>
          <w:i/>
          <w:iCs/>
          <w:lang w:val="es-ES"/>
        </w:rPr>
        <w:t>Health Economics</w:t>
      </w:r>
      <w:r>
        <w:rPr>
          <w:rFonts w:ascii="Calibri" w:hAnsi="Calibri"/>
          <w:lang w:val="es-ES"/>
        </w:rPr>
        <w:t xml:space="preserve"> </w:t>
      </w:r>
      <w:r>
        <w:rPr>
          <w:rFonts w:ascii="Calibri" w:hAnsi="Calibri"/>
          <w:b/>
          <w:bCs/>
          <w:lang w:val="es-ES"/>
        </w:rPr>
        <w:t>25</w:t>
      </w:r>
      <w:r>
        <w:rPr>
          <w:rFonts w:ascii="Calibri" w:hAnsi="Calibri"/>
          <w:lang w:val="es-ES"/>
        </w:rPr>
        <w:t>: 9–28.</w:t>
      </w:r>
    </w:p>
    <w:p>
      <w:pPr>
        <w:pStyle w:val="Normal"/>
        <w:widowControl w:val="false"/>
        <w:spacing w:lineRule="auto" w:line="360"/>
        <w:ind w:left="480" w:hanging="480"/>
        <w:rPr>
          <w:rFonts w:ascii="Calibri" w:hAnsi="Calibri"/>
          <w:lang w:val="es-ES"/>
        </w:rPr>
      </w:pPr>
      <w:r>
        <w:rPr>
          <w:rFonts w:ascii="Calibri" w:hAnsi="Calibri"/>
          <w:lang w:val="es-ES"/>
        </w:rPr>
        <w:t xml:space="preserve">Polonijo AN, Carpiano RM. 2013. Social inequalities in adolescent human papillomavirus (HPV) vaccination: A test of fundamental cause theory. </w:t>
      </w:r>
      <w:r>
        <w:rPr>
          <w:rFonts w:ascii="Calibri" w:hAnsi="Calibri"/>
          <w:i/>
          <w:iCs/>
          <w:lang w:val="es-ES"/>
        </w:rPr>
        <w:t>Social Science and Medicine</w:t>
      </w:r>
      <w:r>
        <w:rPr>
          <w:rFonts w:ascii="Calibri" w:hAnsi="Calibri"/>
          <w:lang w:val="es-ES"/>
        </w:rPr>
        <w:t xml:space="preserve"> </w:t>
      </w:r>
      <w:r>
        <w:rPr>
          <w:rFonts w:ascii="Calibri" w:hAnsi="Calibri"/>
          <w:b/>
          <w:bCs/>
          <w:lang w:val="es-ES"/>
        </w:rPr>
        <w:t>82</w:t>
      </w:r>
      <w:r>
        <w:rPr>
          <w:rFonts w:ascii="Calibri" w:hAnsi="Calibri"/>
          <w:lang w:val="es-ES"/>
        </w:rPr>
        <w:t>: 115–125. Available from: http://dx.doi.org/10.1016/j.socscimed.2012.12.020.</w:t>
      </w:r>
    </w:p>
    <w:p>
      <w:pPr>
        <w:pStyle w:val="Normal"/>
        <w:widowControl w:val="false"/>
        <w:spacing w:lineRule="auto" w:line="360"/>
        <w:ind w:left="480" w:hanging="480"/>
        <w:rPr>
          <w:rFonts w:ascii="Calibri" w:hAnsi="Calibri"/>
          <w:lang w:val="es-ES"/>
        </w:rPr>
      </w:pPr>
      <w:r>
        <w:rPr>
          <w:rFonts w:ascii="Calibri" w:hAnsi="Calibri"/>
          <w:lang w:val="es-ES"/>
        </w:rPr>
        <w:t xml:space="preserve">Postmus D et al. 2014. A multi-criteria decision analysis perspective on the health economic evaluation of medical interventions. </w:t>
      </w:r>
      <w:r>
        <w:rPr>
          <w:rFonts w:ascii="Calibri" w:hAnsi="Calibri"/>
          <w:i/>
          <w:iCs/>
          <w:lang w:val="es-ES"/>
        </w:rPr>
        <w:t>European Journal of Health Economics</w:t>
      </w:r>
      <w:r>
        <w:rPr>
          <w:rFonts w:ascii="Calibri" w:hAnsi="Calibri"/>
          <w:lang w:val="es-ES"/>
        </w:rPr>
        <w:t xml:space="preserve"> </w:t>
      </w:r>
      <w:r>
        <w:rPr>
          <w:rFonts w:ascii="Calibri" w:hAnsi="Calibri"/>
          <w:b/>
          <w:bCs/>
          <w:lang w:val="es-ES"/>
        </w:rPr>
        <w:t>15</w:t>
      </w:r>
      <w:r>
        <w:rPr>
          <w:rFonts w:ascii="Calibri" w:hAnsi="Calibri"/>
          <w:lang w:val="es-ES"/>
        </w:rPr>
        <w:t>(7): 709–716.</w:t>
      </w:r>
    </w:p>
    <w:p>
      <w:pPr>
        <w:pStyle w:val="Normal"/>
        <w:widowControl w:val="false"/>
        <w:spacing w:lineRule="auto" w:line="360"/>
        <w:ind w:left="480" w:hanging="480"/>
        <w:rPr>
          <w:rFonts w:ascii="Calibri" w:hAnsi="Calibri"/>
          <w:lang w:val="es-ES"/>
        </w:rPr>
      </w:pPr>
      <w:r>
        <w:rPr>
          <w:rFonts w:ascii="Calibri" w:hAnsi="Calibri"/>
          <w:lang w:val="es-ES"/>
        </w:rPr>
        <w:t xml:space="preserve">Poulos C et al. 2011. Mothers’ preferences and willingness to pay for HPV vaccines in Vinh Long Province, Vietnam. </w:t>
      </w:r>
      <w:r>
        <w:rPr>
          <w:rFonts w:ascii="Calibri" w:hAnsi="Calibri"/>
          <w:i/>
          <w:iCs/>
          <w:lang w:val="es-ES"/>
        </w:rPr>
        <w:t>Social Science and Medicine</w:t>
      </w:r>
      <w:r>
        <w:rPr>
          <w:rFonts w:ascii="Calibri" w:hAnsi="Calibri"/>
          <w:lang w:val="es-ES"/>
        </w:rPr>
        <w:t xml:space="preserve"> </w:t>
      </w:r>
      <w:r>
        <w:rPr>
          <w:rFonts w:ascii="Calibri" w:hAnsi="Calibri"/>
          <w:b/>
          <w:bCs/>
          <w:lang w:val="es-ES"/>
        </w:rPr>
        <w:t>73</w:t>
      </w:r>
      <w:r>
        <w:rPr>
          <w:rFonts w:ascii="Calibri" w:hAnsi="Calibri"/>
          <w:lang w:val="es-ES"/>
        </w:rPr>
        <w:t>(2): 226–234. Available from: http://dx.doi.org/10.1016/j.socscimed.2011.05.029.</w:t>
      </w:r>
    </w:p>
    <w:p>
      <w:pPr>
        <w:pStyle w:val="Normal"/>
        <w:widowControl w:val="false"/>
        <w:spacing w:lineRule="auto" w:line="360"/>
        <w:ind w:left="480" w:hanging="480"/>
        <w:rPr>
          <w:rFonts w:ascii="Calibri" w:hAnsi="Calibri"/>
          <w:lang w:val="es-ES"/>
        </w:rPr>
      </w:pPr>
      <w:r>
        <w:rPr>
          <w:rFonts w:ascii="Calibri" w:hAnsi="Calibri"/>
          <w:lang w:val="es-ES"/>
        </w:rPr>
        <w:t xml:space="preserve">Praditsitthikorn N et al. 2011. Economic evaluation of policy options for prevention and control of cervical cancer in Thailand. </w:t>
      </w:r>
      <w:r>
        <w:rPr>
          <w:rFonts w:ascii="Calibri" w:hAnsi="Calibri"/>
          <w:i/>
          <w:iCs/>
          <w:lang w:val="es-ES"/>
        </w:rPr>
        <w:t>PharmacoEconomics</w:t>
      </w:r>
      <w:r>
        <w:rPr>
          <w:rFonts w:ascii="Calibri" w:hAnsi="Calibri"/>
          <w:lang w:val="es-ES"/>
        </w:rPr>
        <w:t xml:space="preserve"> </w:t>
      </w:r>
      <w:r>
        <w:rPr>
          <w:rFonts w:ascii="Calibri" w:hAnsi="Calibri"/>
          <w:b/>
          <w:bCs/>
          <w:lang w:val="es-ES"/>
        </w:rPr>
        <w:t>29</w:t>
      </w:r>
      <w:r>
        <w:rPr>
          <w:rFonts w:ascii="Calibri" w:hAnsi="Calibri"/>
          <w:lang w:val="es-ES"/>
        </w:rPr>
        <w:t>(9): 781–806.</w:t>
      </w:r>
    </w:p>
    <w:p>
      <w:pPr>
        <w:pStyle w:val="Normal"/>
        <w:widowControl w:val="false"/>
        <w:spacing w:lineRule="auto" w:line="360"/>
        <w:ind w:left="480" w:hanging="480"/>
        <w:rPr>
          <w:rFonts w:ascii="Calibri" w:hAnsi="Calibri"/>
          <w:lang w:val="es-ES"/>
        </w:rPr>
      </w:pPr>
      <w:r>
        <w:rPr>
          <w:rFonts w:ascii="Calibri" w:hAnsi="Calibri"/>
          <w:lang w:val="es-ES"/>
        </w:rPr>
        <w:t xml:space="preserve">Pulkki-Brännström A-M et al. 2012. Cost and cost effectiveness of long-lasting insecticide-treated bed nets - a model-based analysis. </w:t>
      </w:r>
      <w:r>
        <w:rPr>
          <w:rFonts w:ascii="Calibri" w:hAnsi="Calibri"/>
          <w:i/>
          <w:iCs/>
          <w:lang w:val="es-ES"/>
        </w:rPr>
        <w:t>Cost Effectiveness and Resource Allocation</w:t>
      </w:r>
      <w:r>
        <w:rPr>
          <w:rFonts w:ascii="Calibri" w:hAnsi="Calibri"/>
          <w:lang w:val="es-ES"/>
        </w:rPr>
        <w:t xml:space="preserve"> </w:t>
      </w:r>
      <w:r>
        <w:rPr>
          <w:rFonts w:ascii="Calibri" w:hAnsi="Calibri"/>
          <w:b/>
          <w:bCs/>
          <w:lang w:val="es-ES"/>
        </w:rPr>
        <w:t>10</w:t>
      </w:r>
      <w:r>
        <w:rPr>
          <w:rFonts w:ascii="Calibri" w:hAnsi="Calibri"/>
          <w:lang w:val="es-ES"/>
        </w:rPr>
        <w:t>: 5. Available from: http://www.ncbi.nlm.nih.gov/pubmed/22475679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Ready PD. 2014. Epidemiology of visceral leishmaniasis. </w:t>
      </w:r>
      <w:r>
        <w:rPr>
          <w:rFonts w:ascii="Calibri" w:hAnsi="Calibri"/>
          <w:i/>
          <w:iCs/>
          <w:lang w:val="es-ES"/>
        </w:rPr>
        <w:t>Clinical Epidemiology</w:t>
      </w:r>
      <w:r>
        <w:rPr>
          <w:rFonts w:ascii="Calibri" w:hAnsi="Calibri"/>
          <w:lang w:val="es-ES"/>
        </w:rPr>
        <w:t xml:space="preserve"> </w:t>
      </w:r>
      <w:r>
        <w:rPr>
          <w:rFonts w:ascii="Calibri" w:hAnsi="Calibri"/>
          <w:b/>
          <w:bCs/>
          <w:lang w:val="es-ES"/>
        </w:rPr>
        <w:t>6</w:t>
      </w:r>
      <w:r>
        <w:rPr>
          <w:rFonts w:ascii="Calibri" w:hAnsi="Calibri"/>
          <w:lang w:val="es-ES"/>
        </w:rPr>
        <w:t>: 147–154.</w:t>
      </w:r>
    </w:p>
    <w:p>
      <w:pPr>
        <w:pStyle w:val="Normal"/>
        <w:widowControl w:val="false"/>
        <w:spacing w:lineRule="auto" w:line="360"/>
        <w:ind w:left="480" w:hanging="480"/>
        <w:rPr>
          <w:rFonts w:ascii="Calibri" w:hAnsi="Calibri"/>
          <w:lang w:val="es-ES"/>
        </w:rPr>
      </w:pPr>
      <w:r>
        <w:rPr>
          <w:rFonts w:ascii="Calibri" w:hAnsi="Calibri"/>
          <w:lang w:val="es-ES"/>
        </w:rPr>
        <w:t xml:space="preserve">Reiter PL et al. 2009. Parents’ health beliefs and HPV vaccination of their adolescent daughters. </w:t>
      </w:r>
      <w:r>
        <w:rPr>
          <w:rFonts w:ascii="Calibri" w:hAnsi="Calibri"/>
          <w:i/>
          <w:iCs/>
          <w:lang w:val="es-ES"/>
        </w:rPr>
        <w:t>Social Science and Medicine</w:t>
      </w:r>
      <w:r>
        <w:rPr>
          <w:rFonts w:ascii="Calibri" w:hAnsi="Calibri"/>
          <w:lang w:val="es-ES"/>
        </w:rPr>
        <w:t xml:space="preserve"> </w:t>
      </w:r>
      <w:r>
        <w:rPr>
          <w:rFonts w:ascii="Calibri" w:hAnsi="Calibri"/>
          <w:b/>
          <w:bCs/>
          <w:lang w:val="es-ES"/>
        </w:rPr>
        <w:t>69</w:t>
      </w:r>
      <w:r>
        <w:rPr>
          <w:rFonts w:ascii="Calibri" w:hAnsi="Calibri"/>
          <w:lang w:val="es-ES"/>
        </w:rPr>
        <w:t>(3): 475–480. Available from: http://dx.doi.org/10.1016/j.socscimed.2009.05.024.</w:t>
      </w:r>
    </w:p>
    <w:p>
      <w:pPr>
        <w:pStyle w:val="Normal"/>
        <w:widowControl w:val="false"/>
        <w:spacing w:lineRule="auto" w:line="360"/>
        <w:ind w:left="480" w:hanging="480"/>
        <w:rPr>
          <w:rFonts w:ascii="Calibri" w:hAnsi="Calibri"/>
          <w:lang w:val="es-ES"/>
        </w:rPr>
      </w:pPr>
      <w:r>
        <w:rPr>
          <w:rFonts w:ascii="Calibri" w:hAnsi="Calibri"/>
          <w:lang w:val="es-ES"/>
        </w:rPr>
        <w:t xml:space="preserve">Rguibi M, Belahsen R. 2007. Prevalence of obesity in Morocco. </w:t>
      </w:r>
      <w:r>
        <w:rPr>
          <w:rFonts w:ascii="Calibri" w:hAnsi="Calibri"/>
          <w:i/>
          <w:iCs/>
          <w:lang w:val="es-ES"/>
        </w:rPr>
        <w:t>Obesity Reviews</w:t>
      </w:r>
      <w:r>
        <w:rPr>
          <w:rFonts w:ascii="Calibri" w:hAnsi="Calibri"/>
          <w:lang w:val="es-ES"/>
        </w:rPr>
        <w:t xml:space="preserve"> </w:t>
      </w:r>
      <w:r>
        <w:rPr>
          <w:rFonts w:ascii="Calibri" w:hAnsi="Calibri"/>
          <w:b/>
          <w:bCs/>
          <w:lang w:val="es-ES"/>
        </w:rPr>
        <w:t>8</w:t>
      </w:r>
      <w:r>
        <w:rPr>
          <w:rFonts w:ascii="Calibri" w:hAnsi="Calibri"/>
          <w:lang w:val="es-ES"/>
        </w:rPr>
        <w:t>(1): 11–13. Available from: http://www.ncbi.nlm.nih.gov/pubmed/17212791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Rhajaoui M. 2011. Les leishmanioses humaines au Maroc: une diversité nosogéographique. </w:t>
      </w:r>
      <w:r>
        <w:rPr>
          <w:rFonts w:ascii="Calibri" w:hAnsi="Calibri"/>
          <w:i/>
          <w:iCs/>
          <w:lang w:val="es-ES"/>
        </w:rPr>
        <w:t>Pathologie Biologie</w:t>
      </w:r>
      <w:r>
        <w:rPr>
          <w:rFonts w:ascii="Calibri" w:hAnsi="Calibri"/>
          <w:lang w:val="es-ES"/>
        </w:rPr>
        <w:t xml:space="preserve"> </w:t>
      </w:r>
      <w:r>
        <w:rPr>
          <w:rFonts w:ascii="Calibri" w:hAnsi="Calibri"/>
          <w:b/>
          <w:bCs/>
          <w:lang w:val="es-ES"/>
        </w:rPr>
        <w:t>59</w:t>
      </w:r>
      <w:r>
        <w:rPr>
          <w:rFonts w:ascii="Calibri" w:hAnsi="Calibri"/>
          <w:lang w:val="es-ES"/>
        </w:rPr>
        <w:t>(4): 226–229.</w:t>
      </w:r>
    </w:p>
    <w:p>
      <w:pPr>
        <w:pStyle w:val="Normal"/>
        <w:widowControl w:val="false"/>
        <w:spacing w:lineRule="auto" w:line="360"/>
        <w:ind w:left="480" w:hanging="480"/>
        <w:rPr>
          <w:rFonts w:ascii="Calibri" w:hAnsi="Calibri"/>
          <w:lang w:val="es-ES"/>
        </w:rPr>
      </w:pPr>
      <w:r>
        <w:rPr>
          <w:rFonts w:ascii="Calibri" w:hAnsi="Calibri"/>
          <w:lang w:val="es-ES"/>
        </w:rPr>
        <w:t xml:space="preserve">El Rhazi K et al. 2014. Public awareness of cancer risk factors in the Moroccan population: a population-based cross-sectional study. </w:t>
      </w:r>
      <w:r>
        <w:rPr>
          <w:rFonts w:ascii="Calibri" w:hAnsi="Calibri"/>
          <w:i/>
          <w:iCs/>
          <w:lang w:val="es-ES"/>
        </w:rPr>
        <w:t>BMC Cancer</w:t>
      </w:r>
      <w:r>
        <w:rPr>
          <w:rFonts w:ascii="Calibri" w:hAnsi="Calibri"/>
          <w:lang w:val="es-ES"/>
        </w:rPr>
        <w:t xml:space="preserve"> </w:t>
      </w:r>
      <w:r>
        <w:rPr>
          <w:rFonts w:ascii="Calibri" w:hAnsi="Calibri"/>
          <w:b/>
          <w:bCs/>
          <w:lang w:val="es-ES"/>
        </w:rPr>
        <w:t>14</w:t>
      </w:r>
      <w:r>
        <w:rPr>
          <w:rFonts w:ascii="Calibri" w:hAnsi="Calibri"/>
          <w:lang w:val="es-ES"/>
        </w:rPr>
        <w:t>: 695. Available from: http://www.ncbi.nlm.nih.gov/pubmed/25245224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Russo G, McPake B. 2010. Medicine prices in urban Mozambique: A public health and economic study of pharmaceutical markets and price determinants in low-income settings. </w:t>
      </w:r>
      <w:r>
        <w:rPr>
          <w:rFonts w:ascii="Calibri" w:hAnsi="Calibri"/>
          <w:i/>
          <w:iCs/>
          <w:lang w:val="es-ES"/>
        </w:rPr>
        <w:t>Health Policy and Planning</w:t>
      </w:r>
      <w:r>
        <w:rPr>
          <w:rFonts w:ascii="Calibri" w:hAnsi="Calibri"/>
          <w:lang w:val="es-ES"/>
        </w:rPr>
        <w:t xml:space="preserve"> </w:t>
      </w:r>
      <w:r>
        <w:rPr>
          <w:rFonts w:ascii="Calibri" w:hAnsi="Calibri"/>
          <w:b/>
          <w:bCs/>
          <w:lang w:val="es-ES"/>
        </w:rPr>
        <w:t>25</w:t>
      </w:r>
      <w:r>
        <w:rPr>
          <w:rFonts w:ascii="Calibri" w:hAnsi="Calibri"/>
          <w:lang w:val="es-ES"/>
        </w:rPr>
        <w:t>(1): 70–84.</w:t>
      </w:r>
    </w:p>
    <w:p>
      <w:pPr>
        <w:pStyle w:val="Normal"/>
        <w:widowControl w:val="false"/>
        <w:spacing w:lineRule="auto" w:line="360"/>
        <w:ind w:left="480" w:hanging="480"/>
        <w:rPr>
          <w:rFonts w:ascii="Calibri" w:hAnsi="Calibri"/>
          <w:lang w:val="es-ES"/>
        </w:rPr>
      </w:pPr>
      <w:r>
        <w:rPr>
          <w:rFonts w:ascii="Calibri" w:hAnsi="Calibri"/>
          <w:lang w:val="es-ES"/>
        </w:rPr>
        <w:t xml:space="preserve">Sabot OJ et al. 2009. Piloting the global subsidy: the impact of subsidized artemisinin-based combination therapies distributed through private drug shops in rural Tanzania. </w:t>
      </w:r>
      <w:r>
        <w:rPr>
          <w:rFonts w:ascii="Calibri" w:hAnsi="Calibri"/>
          <w:i/>
          <w:iCs/>
          <w:lang w:val="es-ES"/>
        </w:rPr>
        <w:t>PloS One</w:t>
      </w:r>
      <w:r>
        <w:rPr>
          <w:rFonts w:ascii="Calibri" w:hAnsi="Calibri"/>
          <w:lang w:val="es-ES"/>
        </w:rPr>
        <w:t xml:space="preserve"> </w:t>
      </w:r>
      <w:r>
        <w:rPr>
          <w:rFonts w:ascii="Calibri" w:hAnsi="Calibri"/>
          <w:b/>
          <w:bCs/>
          <w:lang w:val="es-ES"/>
        </w:rPr>
        <w:t>4</w:t>
      </w:r>
      <w:r>
        <w:rPr>
          <w:rFonts w:ascii="Calibri" w:hAnsi="Calibri"/>
          <w:lang w:val="es-ES"/>
        </w:rPr>
        <w:t>(9): e6857. Available from: http://www.pubmedcentral.nih.gov/articlerender.fcgi?artid=2730578&amp;tool=pmcentrez&amp;rendertype=abstract [Accessed 21 March 2014].</w:t>
      </w:r>
    </w:p>
    <w:p>
      <w:pPr>
        <w:pStyle w:val="Normal"/>
        <w:widowControl w:val="false"/>
        <w:spacing w:lineRule="auto" w:line="360"/>
        <w:ind w:left="480" w:hanging="480"/>
        <w:rPr>
          <w:rFonts w:ascii="Calibri" w:hAnsi="Calibri"/>
          <w:lang w:val="es-ES"/>
        </w:rPr>
      </w:pPr>
      <w:r>
        <w:rPr>
          <w:rFonts w:ascii="Calibri" w:hAnsi="Calibri"/>
          <w:lang w:val="es-ES"/>
        </w:rPr>
        <w:t xml:space="preserve">Sachs J, Malaney P. 2002. The economic and social burden of malaria. </w:t>
      </w:r>
      <w:r>
        <w:rPr>
          <w:rFonts w:ascii="Calibri" w:hAnsi="Calibri"/>
          <w:i/>
          <w:iCs/>
          <w:lang w:val="es-ES"/>
        </w:rPr>
        <w:t>Nature</w:t>
      </w:r>
      <w:r>
        <w:rPr>
          <w:rFonts w:ascii="Calibri" w:hAnsi="Calibri"/>
          <w:lang w:val="es-ES"/>
        </w:rPr>
        <w:t xml:space="preserve"> </w:t>
      </w:r>
      <w:r>
        <w:rPr>
          <w:rFonts w:ascii="Calibri" w:hAnsi="Calibri"/>
          <w:b/>
          <w:bCs/>
          <w:lang w:val="es-ES"/>
        </w:rPr>
        <w:t>415</w:t>
      </w:r>
      <w:r>
        <w:rPr>
          <w:rFonts w:ascii="Calibri" w:hAnsi="Calibri"/>
          <w:lang w:val="es-ES"/>
        </w:rPr>
        <w:t>(6872): 680–5. Available from: http://www.ncbi.nlm.nih.gov/pubmed/11832956.</w:t>
      </w:r>
    </w:p>
    <w:p>
      <w:pPr>
        <w:pStyle w:val="Normal"/>
        <w:widowControl w:val="false"/>
        <w:spacing w:lineRule="auto" w:line="360"/>
        <w:ind w:left="480" w:hanging="480"/>
        <w:rPr>
          <w:rFonts w:ascii="Calibri" w:hAnsi="Calibri"/>
          <w:lang w:val="es-ES"/>
        </w:rPr>
      </w:pPr>
      <w:r>
        <w:rPr>
          <w:rFonts w:ascii="Calibri" w:hAnsi="Calibri"/>
          <w:lang w:val="es-ES"/>
        </w:rPr>
        <w:t xml:space="preserve">Sacoor C et al. 2013. Profile: Manhiça Health Research Centre (Manhiça HDSS). </w:t>
      </w:r>
      <w:r>
        <w:rPr>
          <w:rFonts w:ascii="Calibri" w:hAnsi="Calibri"/>
          <w:i/>
          <w:iCs/>
          <w:lang w:val="es-ES"/>
        </w:rPr>
        <w:t>International Journal of Epidemiology</w:t>
      </w:r>
      <w:r>
        <w:rPr>
          <w:rFonts w:ascii="Calibri" w:hAnsi="Calibri"/>
          <w:lang w:val="es-ES"/>
        </w:rPr>
        <w:t xml:space="preserve"> </w:t>
      </w:r>
      <w:r>
        <w:rPr>
          <w:rFonts w:ascii="Calibri" w:hAnsi="Calibri"/>
          <w:b/>
          <w:bCs/>
          <w:lang w:val="es-ES"/>
        </w:rPr>
        <w:t>42</w:t>
      </w:r>
      <w:r>
        <w:rPr>
          <w:rFonts w:ascii="Calibri" w:hAnsi="Calibri"/>
          <w:lang w:val="es-ES"/>
        </w:rPr>
        <w:t>(5): 1309–18. Available from: http://www.ncbi.nlm.nih.gov/pubmed/24159076 [Accessed 1 August 2014].</w:t>
      </w:r>
    </w:p>
    <w:p>
      <w:pPr>
        <w:pStyle w:val="Normal"/>
        <w:widowControl w:val="false"/>
        <w:spacing w:lineRule="auto" w:line="360"/>
        <w:ind w:left="480" w:hanging="480"/>
        <w:rPr>
          <w:rFonts w:ascii="Calibri" w:hAnsi="Calibri"/>
          <w:lang w:val="es-ES"/>
        </w:rPr>
      </w:pPr>
      <w:r>
        <w:rPr>
          <w:rFonts w:ascii="Calibri" w:hAnsi="Calibri"/>
          <w:lang w:val="es-ES"/>
        </w:rPr>
        <w:t xml:space="preserve">Salomão CA et al. 2015. Prescription practices for malaria in Mozambique: poor adherence to the national protocols for malaria treatment in 22 public health facilities. </w:t>
      </w:r>
      <w:r>
        <w:rPr>
          <w:rFonts w:ascii="Calibri" w:hAnsi="Calibri"/>
          <w:i/>
          <w:iCs/>
          <w:lang w:val="es-ES"/>
        </w:rPr>
        <w:t>Malaria Journal</w:t>
      </w:r>
      <w:r>
        <w:rPr>
          <w:rFonts w:ascii="Calibri" w:hAnsi="Calibri"/>
          <w:lang w:val="es-ES"/>
        </w:rPr>
        <w:t xml:space="preserve"> </w:t>
      </w:r>
      <w:r>
        <w:rPr>
          <w:rFonts w:ascii="Calibri" w:hAnsi="Calibri"/>
          <w:b/>
          <w:bCs/>
          <w:lang w:val="es-ES"/>
        </w:rPr>
        <w:t>14</w:t>
      </w:r>
      <w:r>
        <w:rPr>
          <w:rFonts w:ascii="Calibri" w:hAnsi="Calibri"/>
          <w:lang w:val="es-ES"/>
        </w:rPr>
        <w:t>(1): 483. Available from: http://www.ncbi.nlm.nih.gov/pubmed/26628068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Saulo EC et al. 2008. Willingness and ability to pay for artemisinin-based combination therapy in rural Tanzania. </w:t>
      </w:r>
      <w:r>
        <w:rPr>
          <w:rFonts w:ascii="Calibri" w:hAnsi="Calibri"/>
          <w:i/>
          <w:iCs/>
          <w:lang w:val="es-ES"/>
        </w:rPr>
        <w:t>Malaria Journal</w:t>
      </w:r>
      <w:r>
        <w:rPr>
          <w:rFonts w:ascii="Calibri" w:hAnsi="Calibri"/>
          <w:lang w:val="es-ES"/>
        </w:rPr>
        <w:t xml:space="preserve"> </w:t>
      </w:r>
      <w:r>
        <w:rPr>
          <w:rFonts w:ascii="Calibri" w:hAnsi="Calibri"/>
          <w:b/>
          <w:bCs/>
          <w:lang w:val="es-ES"/>
        </w:rPr>
        <w:t>7</w:t>
      </w:r>
      <w:r>
        <w:rPr>
          <w:rFonts w:ascii="Calibri" w:hAnsi="Calibri"/>
          <w:lang w:val="es-ES"/>
        </w:rPr>
        <w:t>: 227. Available from: http://www.pubmedcentral.nih.gov/articlerender.fcgi?artid=2585589&amp;tool=pmcentrez&amp;rendertype=abstract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Schellenberg JA et al. 2003. Inequities among the very poor: health care for children in rural southern Tanzania. </w:t>
      </w:r>
      <w:r>
        <w:rPr>
          <w:rFonts w:ascii="Calibri" w:hAnsi="Calibri"/>
          <w:i/>
          <w:iCs/>
          <w:lang w:val="es-ES"/>
        </w:rPr>
        <w:t>Lancet</w:t>
      </w:r>
      <w:r>
        <w:rPr>
          <w:rFonts w:ascii="Calibri" w:hAnsi="Calibri"/>
          <w:lang w:val="es-ES"/>
        </w:rPr>
        <w:t xml:space="preserve"> </w:t>
      </w:r>
      <w:r>
        <w:rPr>
          <w:rFonts w:ascii="Calibri" w:hAnsi="Calibri"/>
          <w:b/>
          <w:bCs/>
          <w:lang w:val="es-ES"/>
        </w:rPr>
        <w:t>361</w:t>
      </w:r>
      <w:r>
        <w:rPr>
          <w:rFonts w:ascii="Calibri" w:hAnsi="Calibri"/>
          <w:lang w:val="es-ES"/>
        </w:rPr>
        <w:t>(9357): 561–6. Available from: http://www.ncbi.nlm.nih.gov/pubmed/12598141.</w:t>
      </w:r>
    </w:p>
    <w:p>
      <w:pPr>
        <w:pStyle w:val="Normal"/>
        <w:widowControl w:val="false"/>
        <w:spacing w:lineRule="auto" w:line="360"/>
        <w:ind w:left="480" w:hanging="480"/>
        <w:rPr>
          <w:rFonts w:ascii="Calibri" w:hAnsi="Calibri"/>
          <w:lang w:val="es-ES"/>
        </w:rPr>
      </w:pPr>
      <w:r>
        <w:rPr>
          <w:rFonts w:ascii="Calibri" w:hAnsi="Calibri"/>
          <w:lang w:val="es-ES"/>
        </w:rPr>
        <w:t xml:space="preserve">Shankha Chakraborty et al. 2010. Diseases, infection dynamics, and development. </w:t>
      </w:r>
      <w:r>
        <w:rPr>
          <w:rFonts w:ascii="Calibri" w:hAnsi="Calibri"/>
          <w:i/>
          <w:iCs/>
          <w:lang w:val="es-ES"/>
        </w:rPr>
        <w:t>Journal of Monetary Economics</w:t>
      </w:r>
      <w:r>
        <w:rPr>
          <w:rFonts w:ascii="Calibri" w:hAnsi="Calibri"/>
          <w:lang w:val="es-ES"/>
        </w:rPr>
        <w:t xml:space="preserve"> </w:t>
      </w:r>
      <w:r>
        <w:rPr>
          <w:rFonts w:ascii="Calibri" w:hAnsi="Calibri"/>
          <w:b/>
          <w:bCs/>
          <w:lang w:val="es-ES"/>
        </w:rPr>
        <w:t>57</w:t>
      </w:r>
      <w:r>
        <w:rPr>
          <w:rFonts w:ascii="Calibri" w:hAnsi="Calibri"/>
          <w:lang w:val="es-ES"/>
        </w:rPr>
        <w:t>(7): 859–872. Available from: http://www.sciencedirect.com/science/article/pii/S0304393210000942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Shretta R et al. 2016. The economics of malaria control and elimination: a systematic review. </w:t>
      </w:r>
      <w:r>
        <w:rPr>
          <w:rFonts w:ascii="Calibri" w:hAnsi="Calibri"/>
          <w:i/>
          <w:iCs/>
          <w:lang w:val="es-ES"/>
        </w:rPr>
        <w:t>Malaria Journal</w:t>
      </w:r>
      <w:r>
        <w:rPr>
          <w:rFonts w:ascii="Calibri" w:hAnsi="Calibri"/>
          <w:lang w:val="es-ES"/>
        </w:rPr>
        <w:t xml:space="preserve"> </w:t>
      </w:r>
      <w:r>
        <w:rPr>
          <w:rFonts w:ascii="Calibri" w:hAnsi="Calibri"/>
          <w:b/>
          <w:bCs/>
          <w:lang w:val="es-ES"/>
        </w:rPr>
        <w:t>15</w:t>
      </w:r>
      <w:r>
        <w:rPr>
          <w:rFonts w:ascii="Calibri" w:hAnsi="Calibri"/>
          <w:lang w:val="es-ES"/>
        </w:rPr>
        <w:t>(1): 593. Available from: http://malariajournal.biomedcentral.com/articles/10.1186/s12936-016-1635-5.</w:t>
      </w:r>
    </w:p>
    <w:p>
      <w:pPr>
        <w:pStyle w:val="Normal"/>
        <w:widowControl w:val="false"/>
        <w:spacing w:lineRule="auto" w:line="360"/>
        <w:ind w:left="480" w:hanging="480"/>
        <w:rPr>
          <w:rFonts w:ascii="Calibri" w:hAnsi="Calibri"/>
          <w:lang w:val="es-ES"/>
        </w:rPr>
      </w:pPr>
      <w:r>
        <w:rPr>
          <w:rFonts w:ascii="Calibri" w:hAnsi="Calibri"/>
          <w:lang w:val="es-ES"/>
        </w:rPr>
        <w:t xml:space="preserve">Shretta R, Yadav P. 2012. Stabilizing supply of artemisinin and artemisinin-based combination therapy in an era of wide-spread scale-up. </w:t>
      </w:r>
      <w:r>
        <w:rPr>
          <w:rFonts w:ascii="Calibri" w:hAnsi="Calibri"/>
          <w:i/>
          <w:iCs/>
          <w:lang w:val="es-ES"/>
        </w:rPr>
        <w:t>Malaria Journal</w:t>
      </w:r>
      <w:r>
        <w:rPr>
          <w:rFonts w:ascii="Calibri" w:hAnsi="Calibri"/>
          <w:lang w:val="es-ES"/>
        </w:rPr>
        <w:t xml:space="preserve"> </w:t>
      </w:r>
      <w:r>
        <w:rPr>
          <w:rFonts w:ascii="Calibri" w:hAnsi="Calibri"/>
          <w:b/>
          <w:bCs/>
          <w:lang w:val="es-ES"/>
        </w:rPr>
        <w:t>11</w:t>
      </w:r>
      <w:r>
        <w:rPr>
          <w:rFonts w:ascii="Calibri" w:hAnsi="Calibri"/>
          <w:lang w:val="es-ES"/>
        </w:rPr>
        <w:t>: 399. Available from: http://www.scopus.com/inward/record.url?eid=2-s2.0-84870203643&amp;partnerID=tZOtx3y1.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2015. Can economic analysis contribute to disease elimination and eradication? A systematic review. </w:t>
      </w:r>
      <w:r>
        <w:rPr>
          <w:rFonts w:ascii="Calibri" w:hAnsi="Calibri"/>
          <w:i/>
          <w:iCs/>
          <w:lang w:val="es-ES"/>
        </w:rPr>
        <w:t>PLoS ONE</w:t>
      </w:r>
      <w:r>
        <w:rPr>
          <w:rFonts w:ascii="Calibri" w:hAnsi="Calibri"/>
          <w:lang w:val="es-ES"/>
        </w:rPr>
        <w:t xml:space="preserve"> </w:t>
      </w:r>
      <w:r>
        <w:rPr>
          <w:rFonts w:ascii="Calibri" w:hAnsi="Calibri"/>
          <w:b/>
          <w:bCs/>
          <w:lang w:val="es-ES"/>
        </w:rPr>
        <w:t>10</w:t>
      </w:r>
      <w:r>
        <w:rPr>
          <w:rFonts w:ascii="Calibri" w:hAnsi="Calibri"/>
          <w:lang w:val="es-ES"/>
        </w:rPr>
        <w:t>(6): 1–21.</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2011. Cost-effectiveness of intermittent preventive treatment of malaria in infants (IPTi) for averting anaemia in Gabon: a comparison between intention to treat and according to protocol analyses. </w:t>
      </w:r>
      <w:r>
        <w:rPr>
          <w:rFonts w:ascii="Calibri" w:hAnsi="Calibri"/>
          <w:i/>
          <w:iCs/>
          <w:lang w:val="es-ES"/>
        </w:rPr>
        <w:t>Malaria Journal</w:t>
      </w:r>
      <w:r>
        <w:rPr>
          <w:rFonts w:ascii="Calibri" w:hAnsi="Calibri"/>
          <w:lang w:val="es-ES"/>
        </w:rPr>
        <w:t xml:space="preserve"> </w:t>
      </w:r>
      <w:r>
        <w:rPr>
          <w:rFonts w:ascii="Calibri" w:hAnsi="Calibri"/>
          <w:b/>
          <w:bCs/>
          <w:lang w:val="es-ES"/>
        </w:rPr>
        <w:t>10</w:t>
      </w:r>
      <w:r>
        <w:rPr>
          <w:rFonts w:ascii="Calibri" w:hAnsi="Calibri"/>
          <w:lang w:val="es-ES"/>
        </w:rPr>
        <w:t>(1): 305. Available from: http://www.narcis.nl/publication/RecordID/oai:uva.nl:365147/dd_year/2011/uquery/Fall prevention OR valpreventie, hospital OR ziekenhuis and cognition OR cognitie and agnosia and reducing falls  /id/10/Language/NL.</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2010. Cost-Effectiveness of Intermittent Preventive Treatment of Malaria in Pregnancy in Southern Mozambique von Seidlein L (ed). </w:t>
      </w:r>
      <w:r>
        <w:rPr>
          <w:rFonts w:ascii="Calibri" w:hAnsi="Calibri"/>
          <w:i/>
          <w:iCs/>
          <w:lang w:val="es-ES"/>
        </w:rPr>
        <w:t>PLoS ONE</w:t>
      </w:r>
      <w:r>
        <w:rPr>
          <w:rFonts w:ascii="Calibri" w:hAnsi="Calibri"/>
          <w:lang w:val="es-ES"/>
        </w:rPr>
        <w:t xml:space="preserve"> </w:t>
      </w:r>
      <w:r>
        <w:rPr>
          <w:rFonts w:ascii="Calibri" w:hAnsi="Calibri"/>
          <w:b/>
          <w:bCs/>
          <w:lang w:val="es-ES"/>
        </w:rPr>
        <w:t>5</w:t>
      </w:r>
      <w:r>
        <w:rPr>
          <w:rFonts w:ascii="Calibri" w:hAnsi="Calibri"/>
          <w:lang w:val="es-ES"/>
        </w:rPr>
        <w:t>(10): e13407. Available from: http://dx.plos.org/10.1371/journal.pone.0013407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Sicuri E et al. 2013. The economic costs of malaria in children in three sub-Saharan countries: Ghana, Tanzania and Kenya. </w:t>
      </w:r>
      <w:r>
        <w:rPr>
          <w:rFonts w:ascii="Calibri" w:hAnsi="Calibri"/>
          <w:i/>
          <w:iCs/>
          <w:lang w:val="es-ES"/>
        </w:rPr>
        <w:t>Malaria Journal</w:t>
      </w:r>
      <w:r>
        <w:rPr>
          <w:rFonts w:ascii="Calibri" w:hAnsi="Calibri"/>
          <w:lang w:val="es-ES"/>
        </w:rPr>
        <w:t xml:space="preserve"> </w:t>
      </w:r>
      <w:r>
        <w:rPr>
          <w:rFonts w:ascii="Calibri" w:hAnsi="Calibri"/>
          <w:b/>
          <w:bCs/>
          <w:lang w:val="es-ES"/>
        </w:rPr>
        <w:t>12</w:t>
      </w:r>
      <w:r>
        <w:rPr>
          <w:rFonts w:ascii="Calibri" w:hAnsi="Calibri"/>
          <w:lang w:val="es-ES"/>
        </w:rPr>
        <w:t>(1): 1. Available from: Malaria Journal.</w:t>
      </w:r>
    </w:p>
    <w:p>
      <w:pPr>
        <w:pStyle w:val="Normal"/>
        <w:widowControl w:val="false"/>
        <w:spacing w:lineRule="auto" w:line="360"/>
        <w:ind w:left="480" w:hanging="480"/>
        <w:rPr>
          <w:rFonts w:ascii="Calibri" w:hAnsi="Calibri"/>
          <w:lang w:val="es-ES"/>
        </w:rPr>
      </w:pPr>
      <w:r>
        <w:rPr>
          <w:rFonts w:ascii="Calibri" w:hAnsi="Calibri"/>
          <w:lang w:val="es-ES"/>
        </w:rPr>
        <w:t xml:space="preserve">Smith PC, Yip W. 2016. The economics of health system design. </w:t>
      </w:r>
      <w:r>
        <w:rPr>
          <w:rFonts w:ascii="Calibri" w:hAnsi="Calibri"/>
          <w:i/>
          <w:iCs/>
          <w:lang w:val="es-ES"/>
        </w:rPr>
        <w:t>Oxford Review of Economic Policy</w:t>
      </w:r>
      <w:r>
        <w:rPr>
          <w:rFonts w:ascii="Calibri" w:hAnsi="Calibri"/>
          <w:lang w:val="es-ES"/>
        </w:rPr>
        <w:t xml:space="preserve"> </w:t>
      </w:r>
      <w:r>
        <w:rPr>
          <w:rFonts w:ascii="Calibri" w:hAnsi="Calibri"/>
          <w:b/>
          <w:bCs/>
          <w:lang w:val="es-ES"/>
        </w:rPr>
        <w:t>32</w:t>
      </w:r>
      <w:r>
        <w:rPr>
          <w:rFonts w:ascii="Calibri" w:hAnsi="Calibri"/>
          <w:lang w:val="es-ES"/>
        </w:rPr>
        <w:t>(1): 21–40.</w:t>
      </w:r>
    </w:p>
    <w:p>
      <w:pPr>
        <w:pStyle w:val="Normal"/>
        <w:widowControl w:val="false"/>
        <w:spacing w:lineRule="auto" w:line="360"/>
        <w:ind w:left="480" w:hanging="480"/>
        <w:rPr>
          <w:rFonts w:ascii="Calibri" w:hAnsi="Calibri"/>
          <w:lang w:val="es-ES"/>
        </w:rPr>
      </w:pPr>
      <w:r>
        <w:rPr>
          <w:rFonts w:ascii="Calibri" w:hAnsi="Calibri"/>
          <w:lang w:val="es-ES"/>
        </w:rPr>
        <w:t xml:space="preserve">Spaan E et al. 2012. The impact of health insurance in Africa and Asia: a systematic review.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90</w:t>
      </w:r>
      <w:r>
        <w:rPr>
          <w:rFonts w:ascii="Calibri" w:hAnsi="Calibri"/>
          <w:lang w:val="es-ES"/>
        </w:rPr>
        <w:t>(9): 685–692. Available from: http://www.who.int/bulletin/volumes/90/9/12-102301.pdf.</w:t>
      </w:r>
    </w:p>
    <w:p>
      <w:pPr>
        <w:pStyle w:val="Normal"/>
        <w:widowControl w:val="false"/>
        <w:spacing w:lineRule="auto" w:line="360"/>
        <w:ind w:left="480" w:hanging="480"/>
        <w:rPr>
          <w:rFonts w:ascii="Calibri" w:hAnsi="Calibri"/>
          <w:lang w:val="es-ES"/>
        </w:rPr>
      </w:pPr>
      <w:r>
        <w:rPr>
          <w:rFonts w:ascii="Calibri" w:hAnsi="Calibri"/>
          <w:lang w:val="es-ES"/>
        </w:rPr>
        <w:t xml:space="preserve">Stenberg K et al. 2017. Financing transformative health systems towards achievement of the health Sustainable Development Goals: a model for projected resource needs in 67 low-income and middle-income countries. </w:t>
      </w:r>
      <w:r>
        <w:rPr>
          <w:rFonts w:ascii="Calibri" w:hAnsi="Calibri"/>
          <w:i/>
          <w:iCs/>
          <w:lang w:val="es-ES"/>
        </w:rPr>
        <w:t>The Lancet Global Health</w:t>
      </w:r>
      <w:r>
        <w:rPr>
          <w:rFonts w:ascii="Calibri" w:hAnsi="Calibri"/>
          <w:lang w:val="es-ES"/>
        </w:rPr>
        <w:t xml:space="preserve"> </w:t>
      </w:r>
      <w:r>
        <w:rPr>
          <w:rFonts w:ascii="Calibri" w:hAnsi="Calibri"/>
          <w:b/>
          <w:bCs/>
          <w:lang w:val="es-ES"/>
        </w:rPr>
        <w:t>5</w:t>
      </w:r>
      <w:r>
        <w:rPr>
          <w:rFonts w:ascii="Calibri" w:hAnsi="Calibri"/>
          <w:lang w:val="es-ES"/>
        </w:rPr>
        <w:t>(9): e875–e887.</w:t>
      </w:r>
    </w:p>
    <w:p>
      <w:pPr>
        <w:pStyle w:val="Normal"/>
        <w:widowControl w:val="false"/>
        <w:spacing w:lineRule="auto" w:line="360"/>
        <w:ind w:left="480" w:hanging="480"/>
        <w:rPr>
          <w:rFonts w:ascii="Calibri" w:hAnsi="Calibri"/>
          <w:lang w:val="es-ES"/>
        </w:rPr>
      </w:pPr>
      <w:r>
        <w:rPr>
          <w:rFonts w:ascii="Calibri" w:hAnsi="Calibri"/>
          <w:lang w:val="es-ES"/>
        </w:rPr>
        <w:t xml:space="preserve">Sullivan SD et al. 2014. Budget impact analysis - Principles of good practice: Report of the ISPOR 2012 budget impact analysis good practice II task force. </w:t>
      </w:r>
      <w:r>
        <w:rPr>
          <w:rFonts w:ascii="Calibri" w:hAnsi="Calibri"/>
          <w:i/>
          <w:iCs/>
          <w:lang w:val="es-ES"/>
        </w:rPr>
        <w:t>Value in Health</w:t>
      </w:r>
      <w:r>
        <w:rPr>
          <w:rFonts w:ascii="Calibri" w:hAnsi="Calibri"/>
          <w:lang w:val="es-ES"/>
        </w:rPr>
        <w:t xml:space="preserve"> </w:t>
      </w:r>
      <w:r>
        <w:rPr>
          <w:rFonts w:ascii="Calibri" w:hAnsi="Calibri"/>
          <w:b/>
          <w:bCs/>
          <w:lang w:val="es-ES"/>
        </w:rPr>
        <w:t>17</w:t>
      </w:r>
      <w:r>
        <w:rPr>
          <w:rFonts w:ascii="Calibri" w:hAnsi="Calibri"/>
          <w:lang w:val="es-ES"/>
        </w:rPr>
        <w:t>(1): 5–14. Available from: http://dx.doi.org/10.1016/j.jval.2013.08.2291.</w:t>
      </w:r>
    </w:p>
    <w:p>
      <w:pPr>
        <w:pStyle w:val="Normal"/>
        <w:widowControl w:val="false"/>
        <w:spacing w:lineRule="auto" w:line="360"/>
        <w:ind w:left="480" w:hanging="480"/>
        <w:rPr>
          <w:rFonts w:ascii="Calibri" w:hAnsi="Calibri"/>
          <w:lang w:val="es-ES"/>
        </w:rPr>
      </w:pPr>
      <w:r>
        <w:rPr>
          <w:rFonts w:ascii="Calibri" w:hAnsi="Calibri"/>
          <w:lang w:val="es-ES"/>
        </w:rPr>
        <w:t xml:space="preserve">Sundar S et al. 2010. Household cost-of-illness of visceral leishmaniasis in Bihar, India.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15</w:t>
      </w:r>
      <w:r>
        <w:rPr>
          <w:rFonts w:ascii="Calibri" w:hAnsi="Calibri"/>
          <w:lang w:val="es-ES"/>
        </w:rPr>
        <w:t>(SUPPL. 2): 50–54.</w:t>
      </w:r>
    </w:p>
    <w:p>
      <w:pPr>
        <w:pStyle w:val="Normal"/>
        <w:widowControl w:val="false"/>
        <w:spacing w:lineRule="auto" w:line="360"/>
        <w:ind w:left="480" w:hanging="480"/>
        <w:rPr>
          <w:rFonts w:ascii="Calibri" w:hAnsi="Calibri"/>
          <w:lang w:val="es-ES"/>
        </w:rPr>
      </w:pPr>
      <w:r>
        <w:rPr>
          <w:rFonts w:ascii="Calibri" w:hAnsi="Calibri"/>
          <w:lang w:val="es-ES"/>
        </w:rPr>
        <w:t xml:space="preserve">Tanner M et al. 2015. Malaria eradication and elimination: views on how to translate a vision into reality. </w:t>
      </w:r>
      <w:r>
        <w:rPr>
          <w:rFonts w:ascii="Calibri" w:hAnsi="Calibri"/>
          <w:i/>
          <w:iCs/>
          <w:lang w:val="es-ES"/>
        </w:rPr>
        <w:t>BMC Medicine</w:t>
      </w:r>
      <w:r>
        <w:rPr>
          <w:rFonts w:ascii="Calibri" w:hAnsi="Calibri"/>
          <w:lang w:val="es-ES"/>
        </w:rPr>
        <w:t xml:space="preserve"> </w:t>
      </w:r>
      <w:r>
        <w:rPr>
          <w:rFonts w:ascii="Calibri" w:hAnsi="Calibri"/>
          <w:b/>
          <w:bCs/>
          <w:lang w:val="es-ES"/>
        </w:rPr>
        <w:t>13</w:t>
      </w:r>
      <w:r>
        <w:rPr>
          <w:rFonts w:ascii="Calibri" w:hAnsi="Calibri"/>
          <w:lang w:val="es-ES"/>
        </w:rPr>
        <w:t>(1): 167. Available from: http://bmcmedicine.biomedcentral.com/articles/10.1186/s12916-015-0384-6.</w:t>
      </w:r>
    </w:p>
    <w:p>
      <w:pPr>
        <w:pStyle w:val="Normal"/>
        <w:widowControl w:val="false"/>
        <w:spacing w:lineRule="auto" w:line="360"/>
        <w:ind w:left="480" w:hanging="480"/>
        <w:rPr>
          <w:rFonts w:ascii="Calibri" w:hAnsi="Calibri"/>
          <w:lang w:val="es-ES"/>
        </w:rPr>
      </w:pPr>
      <w:r>
        <w:rPr>
          <w:rFonts w:ascii="Calibri" w:hAnsi="Calibri"/>
          <w:lang w:val="es-ES"/>
        </w:rPr>
        <w:t xml:space="preserve">Tarricone R. 2006. Cost-of-illness analysis. What room in health economics? </w:t>
      </w:r>
      <w:r>
        <w:rPr>
          <w:rFonts w:ascii="Calibri" w:hAnsi="Calibri"/>
          <w:i/>
          <w:iCs/>
          <w:lang w:val="es-ES"/>
        </w:rPr>
        <w:t>Health Policy</w:t>
      </w:r>
      <w:r>
        <w:rPr>
          <w:rFonts w:ascii="Calibri" w:hAnsi="Calibri"/>
          <w:lang w:val="es-ES"/>
        </w:rPr>
        <w:t xml:space="preserve"> </w:t>
      </w:r>
      <w:r>
        <w:rPr>
          <w:rFonts w:ascii="Calibri" w:hAnsi="Calibri"/>
          <w:b/>
          <w:bCs/>
          <w:lang w:val="es-ES"/>
        </w:rPr>
        <w:t>77</w:t>
      </w:r>
      <w:r>
        <w:rPr>
          <w:rFonts w:ascii="Calibri" w:hAnsi="Calibri"/>
          <w:lang w:val="es-ES"/>
        </w:rPr>
        <w:t>(1): 51–63.</w:t>
      </w:r>
    </w:p>
    <w:p>
      <w:pPr>
        <w:pStyle w:val="Normal"/>
        <w:widowControl w:val="false"/>
        <w:spacing w:lineRule="auto" w:line="360"/>
        <w:ind w:left="480" w:hanging="480"/>
        <w:rPr>
          <w:rFonts w:ascii="Calibri" w:hAnsi="Calibri"/>
          <w:lang w:val="es-ES"/>
        </w:rPr>
      </w:pPr>
      <w:r>
        <w:rPr>
          <w:rFonts w:ascii="Calibri" w:hAnsi="Calibri"/>
          <w:lang w:val="es-ES"/>
        </w:rPr>
        <w:t>The Global Fund. 2018. The Global Fund to Fight AIDS, Tuberculosis and Malaria- Funding Model. Available from: https://www.theglobalfund.org/en/funding-model/funding-process-steps/eligibility-transitions/ [Accessed 12 February 2018].</w:t>
      </w:r>
    </w:p>
    <w:p>
      <w:pPr>
        <w:pStyle w:val="Normal"/>
        <w:widowControl w:val="false"/>
        <w:spacing w:lineRule="auto" w:line="360"/>
        <w:ind w:left="480" w:hanging="480"/>
        <w:rPr>
          <w:rFonts w:ascii="Calibri" w:hAnsi="Calibri"/>
          <w:lang w:val="es-ES"/>
        </w:rPr>
      </w:pPr>
      <w:r>
        <w:rPr>
          <w:rFonts w:ascii="Calibri" w:hAnsi="Calibri"/>
          <w:lang w:val="es-ES"/>
        </w:rPr>
        <w:t>The World Bank. 2017a. GDP per capita (current US$) 2016. Available from: https://data.worldbank.org/indicator/NY.GDP.PCAP.CD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2017b. GINI Index. Available from: https://data.worldbank.org/indicator/SI.POV.GINI/ [Accessed 14 November 2017].</w:t>
      </w:r>
    </w:p>
    <w:p>
      <w:pPr>
        <w:pStyle w:val="Normal"/>
        <w:widowControl w:val="false"/>
        <w:spacing w:lineRule="auto" w:line="360"/>
        <w:ind w:left="480" w:hanging="480"/>
        <w:rPr>
          <w:rFonts w:ascii="Calibri" w:hAnsi="Calibri"/>
          <w:lang w:val="es-ES"/>
        </w:rPr>
      </w:pPr>
      <w:r>
        <w:rPr>
          <w:rFonts w:ascii="Calibri" w:hAnsi="Calibri"/>
          <w:lang w:val="es-ES"/>
        </w:rPr>
        <w:t>The World Bank. 2017c. Health expenditure per capita (current US$). Available from: https://data.worldbank.org/indicator/SH.XPD.PCAP.</w:t>
      </w:r>
    </w:p>
    <w:p>
      <w:pPr>
        <w:pStyle w:val="Normal"/>
        <w:widowControl w:val="false"/>
        <w:spacing w:lineRule="auto" w:line="360"/>
        <w:ind w:left="480" w:hanging="480"/>
        <w:rPr>
          <w:rFonts w:ascii="Calibri" w:hAnsi="Calibri"/>
          <w:lang w:val="es-ES"/>
        </w:rPr>
      </w:pPr>
      <w:r>
        <w:rPr>
          <w:rFonts w:ascii="Calibri" w:hAnsi="Calibri"/>
          <w:lang w:val="es-ES"/>
        </w:rPr>
        <w:t xml:space="preserve">Tougher S et al. 2012. Effect of the Affordable Medicines Facility--malaria (AMFm) on the availability, price, and market share of quality-assured artemisinin-based combination therapies in seven countries: a before-and-after analysis of outlet survey data. </w:t>
      </w:r>
      <w:r>
        <w:rPr>
          <w:rFonts w:ascii="Calibri" w:hAnsi="Calibri"/>
          <w:i/>
          <w:iCs/>
          <w:lang w:val="es-ES"/>
        </w:rPr>
        <w:t>Lancet</w:t>
      </w:r>
      <w:r>
        <w:rPr>
          <w:rFonts w:ascii="Calibri" w:hAnsi="Calibri"/>
          <w:lang w:val="es-ES"/>
        </w:rPr>
        <w:t xml:space="preserve"> </w:t>
      </w:r>
      <w:r>
        <w:rPr>
          <w:rFonts w:ascii="Calibri" w:hAnsi="Calibri"/>
          <w:b/>
          <w:bCs/>
          <w:lang w:val="es-ES"/>
        </w:rPr>
        <w:t>380</w:t>
      </w:r>
      <w:r>
        <w:rPr>
          <w:rFonts w:ascii="Calibri" w:hAnsi="Calibri"/>
          <w:lang w:val="es-ES"/>
        </w:rPr>
        <w:t>(9857): 1916–26. Available from: http://www.ncbi.nlm.nih.gov/pubmed/23122217 [Accessed 12 May 2014].</w:t>
      </w:r>
    </w:p>
    <w:p>
      <w:pPr>
        <w:pStyle w:val="Normal"/>
        <w:widowControl w:val="false"/>
        <w:spacing w:lineRule="auto" w:line="360"/>
        <w:ind w:left="480" w:hanging="480"/>
        <w:rPr>
          <w:rFonts w:ascii="Calibri" w:hAnsi="Calibri"/>
          <w:lang w:val="es-ES"/>
        </w:rPr>
      </w:pPr>
      <w:r>
        <w:rPr>
          <w:rFonts w:ascii="Calibri" w:hAnsi="Calibri"/>
          <w:lang w:val="es-ES"/>
        </w:rPr>
        <w:t xml:space="preserve">Trapero-Bertran M et al. 2012. A systematic review and meta-analysis of willingness-to-pay values: the case of malaria control interventions. </w:t>
      </w:r>
      <w:r>
        <w:rPr>
          <w:rFonts w:ascii="Calibri" w:hAnsi="Calibri"/>
          <w:i/>
          <w:iCs/>
          <w:lang w:val="es-ES"/>
        </w:rPr>
        <w:t>Health Economics</w:t>
      </w:r>
      <w:r>
        <w:rPr>
          <w:rFonts w:ascii="Calibri" w:hAnsi="Calibri"/>
          <w:lang w:val="es-ES"/>
        </w:rPr>
        <w:t xml:space="preserve"> </w:t>
      </w:r>
      <w:r>
        <w:rPr>
          <w:rFonts w:ascii="Calibri" w:hAnsi="Calibri"/>
          <w:b/>
          <w:bCs/>
          <w:lang w:val="es-ES"/>
        </w:rPr>
        <w:t>18</w:t>
      </w:r>
      <w:r>
        <w:rPr>
          <w:rFonts w:ascii="Calibri" w:hAnsi="Calibri"/>
          <w:lang w:val="es-ES"/>
        </w:rPr>
        <w:t>.</w:t>
      </w:r>
    </w:p>
    <w:p>
      <w:pPr>
        <w:pStyle w:val="Normal"/>
        <w:widowControl w:val="false"/>
        <w:spacing w:lineRule="auto" w:line="360"/>
        <w:ind w:left="480" w:hanging="480"/>
        <w:rPr>
          <w:rFonts w:ascii="Calibri" w:hAnsi="Calibri"/>
          <w:lang w:val="es-ES"/>
        </w:rPr>
      </w:pPr>
      <w:r>
        <w:rPr>
          <w:rFonts w:ascii="Calibri" w:hAnsi="Calibri"/>
          <w:lang w:val="es-ES"/>
        </w:rPr>
        <w:t>UNICEF. 2017. Vaccine price data. Available from: https://www.unicef.org/supply/files/HPV_.pdf [Accessed 29 January 2018].</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2015. Transforming our world: the 2030 Agenda for Sustainable Development. </w:t>
      </w:r>
      <w:r>
        <w:rPr>
          <w:rFonts w:ascii="Calibri" w:hAnsi="Calibri"/>
          <w:i/>
          <w:iCs/>
          <w:lang w:val="es-ES"/>
        </w:rPr>
        <w:t>General Assembley 70 Session</w:t>
      </w:r>
      <w:r>
        <w:rPr>
          <w:rFonts w:ascii="Calibri" w:hAnsi="Calibri"/>
          <w:lang w:val="es-ES"/>
        </w:rPr>
        <w:t xml:space="preserve"> </w:t>
      </w:r>
      <w:r>
        <w:rPr>
          <w:rFonts w:ascii="Calibri" w:hAnsi="Calibri"/>
          <w:b/>
          <w:bCs/>
          <w:lang w:val="es-ES"/>
        </w:rPr>
        <w:t>16301</w:t>
      </w:r>
      <w:r>
        <w:rPr>
          <w:rFonts w:ascii="Calibri" w:hAnsi="Calibri"/>
          <w:lang w:val="es-ES"/>
        </w:rPr>
        <w:t>(October): 1–35.</w:t>
      </w:r>
    </w:p>
    <w:p>
      <w:pPr>
        <w:pStyle w:val="Normal"/>
        <w:widowControl w:val="false"/>
        <w:spacing w:lineRule="auto" w:line="360"/>
        <w:ind w:left="480" w:hanging="480"/>
        <w:rPr>
          <w:rFonts w:ascii="Calibri" w:hAnsi="Calibri"/>
          <w:lang w:val="es-ES"/>
        </w:rPr>
      </w:pPr>
      <w:r>
        <w:rPr>
          <w:rFonts w:ascii="Calibri" w:hAnsi="Calibri"/>
          <w:lang w:val="es-ES"/>
        </w:rPr>
        <w:t xml:space="preserve">United Nations Development Programme. 2016. </w:t>
      </w:r>
      <w:r>
        <w:rPr>
          <w:rFonts w:ascii="Calibri" w:hAnsi="Calibri"/>
          <w:i/>
          <w:iCs/>
          <w:lang w:val="es-ES"/>
        </w:rPr>
        <w:t>Human Development Report 2016</w:t>
      </w:r>
      <w:r>
        <w:rPr>
          <w:rFonts w:ascii="Calibri" w:hAnsi="Calibri"/>
          <w:lang w:val="es-ES"/>
        </w:rPr>
        <w:t>. Available from: http://hdr.undp.org/sites/default/files/2016_human_development_report.pdf.</w:t>
      </w:r>
    </w:p>
    <w:p>
      <w:pPr>
        <w:pStyle w:val="Normal"/>
        <w:widowControl w:val="false"/>
        <w:spacing w:lineRule="auto" w:line="360"/>
        <w:ind w:left="480" w:hanging="480"/>
        <w:rPr>
          <w:rFonts w:ascii="Calibri" w:hAnsi="Calibri"/>
          <w:lang w:val="es-ES"/>
        </w:rPr>
      </w:pPr>
      <w:r>
        <w:rPr>
          <w:rFonts w:ascii="Calibri" w:hAnsi="Calibri"/>
          <w:lang w:val="es-ES"/>
        </w:rPr>
        <w:t xml:space="preserve">Uranw S et al. 2013. The Household Costs of Visceral Leishmaniasis Care in South-eastern Nepal. </w:t>
      </w:r>
      <w:r>
        <w:rPr>
          <w:rFonts w:ascii="Calibri" w:hAnsi="Calibri"/>
          <w:i/>
          <w:iCs/>
          <w:lang w:val="es-ES"/>
        </w:rPr>
        <w:t>PLoS Neglected Tropical Diseases</w:t>
      </w:r>
      <w:r>
        <w:rPr>
          <w:rFonts w:ascii="Calibri" w:hAnsi="Calibri"/>
          <w:lang w:val="es-ES"/>
        </w:rPr>
        <w:t xml:space="preserve"> </w:t>
      </w:r>
      <w:r>
        <w:rPr>
          <w:rFonts w:ascii="Calibri" w:hAnsi="Calibri"/>
          <w:b/>
          <w:bCs/>
          <w:lang w:val="es-ES"/>
        </w:rPr>
        <w:t>7</w:t>
      </w:r>
      <w:r>
        <w:rPr>
          <w:rFonts w:ascii="Calibri" w:hAnsi="Calibri"/>
          <w:lang w:val="es-ES"/>
        </w:rPr>
        <w:t>(2).</w:t>
      </w:r>
    </w:p>
    <w:p>
      <w:pPr>
        <w:pStyle w:val="Normal"/>
        <w:widowControl w:val="false"/>
        <w:spacing w:lineRule="auto" w:line="360"/>
        <w:ind w:left="480" w:hanging="480"/>
        <w:rPr>
          <w:rFonts w:ascii="Calibri" w:hAnsi="Calibri"/>
          <w:lang w:val="es-ES"/>
        </w:rPr>
      </w:pPr>
      <w:r>
        <w:rPr>
          <w:rFonts w:ascii="Calibri" w:hAnsi="Calibri"/>
          <w:lang w:val="es-ES"/>
        </w:rPr>
        <w:t xml:space="preserve">Wagenaar BH et al. 2015. Effects of a health information system data quality intervention on concordance in Mozambique: time-series analyses from 2009-2012. </w:t>
      </w:r>
      <w:r>
        <w:rPr>
          <w:rFonts w:ascii="Calibri" w:hAnsi="Calibri"/>
          <w:i/>
          <w:iCs/>
          <w:lang w:val="es-ES"/>
        </w:rPr>
        <w:t>Population Health Metrics</w:t>
      </w:r>
      <w:r>
        <w:rPr>
          <w:rFonts w:ascii="Calibri" w:hAnsi="Calibri"/>
          <w:lang w:val="es-ES"/>
        </w:rPr>
        <w:t xml:space="preserve"> </w:t>
      </w:r>
      <w:r>
        <w:rPr>
          <w:rFonts w:ascii="Calibri" w:hAnsi="Calibri"/>
          <w:b/>
          <w:bCs/>
          <w:lang w:val="es-ES"/>
        </w:rPr>
        <w:t>13</w:t>
      </w:r>
      <w:r>
        <w:rPr>
          <w:rFonts w:ascii="Calibri" w:hAnsi="Calibri"/>
          <w:lang w:val="es-ES"/>
        </w:rPr>
        <w:t>(1): 9. Available from: http://pophealthmetrics.biomedcentral.com/articles/10.1186/s12963-015-0043-3 [Accessed 15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Wagstaff A, Culyer A. 2012. Four decades of health economics through a bibliometric lens. </w:t>
      </w:r>
      <w:r>
        <w:rPr>
          <w:rFonts w:ascii="Calibri" w:hAnsi="Calibri"/>
          <w:i/>
          <w:iCs/>
          <w:lang w:val="es-ES"/>
        </w:rPr>
        <w:t>Journal of Health Economics</w:t>
      </w:r>
      <w:r>
        <w:rPr>
          <w:rFonts w:ascii="Calibri" w:hAnsi="Calibri"/>
          <w:lang w:val="es-ES"/>
        </w:rPr>
        <w:t xml:space="preserve"> </w:t>
      </w:r>
      <w:r>
        <w:rPr>
          <w:rFonts w:ascii="Calibri" w:hAnsi="Calibri"/>
          <w:b/>
          <w:bCs/>
          <w:lang w:val="es-ES"/>
        </w:rPr>
        <w:t>31</w:t>
      </w:r>
      <w:r>
        <w:rPr>
          <w:rFonts w:ascii="Calibri" w:hAnsi="Calibri"/>
          <w:lang w:val="es-ES"/>
        </w:rPr>
        <w:t>(2): 406–439. Available from: http://www.sciencedirect.com/science/article/pii/S0167629612000306 [Accessed 8 November 2017].</w:t>
      </w:r>
    </w:p>
    <w:p>
      <w:pPr>
        <w:pStyle w:val="Normal"/>
        <w:widowControl w:val="false"/>
        <w:spacing w:lineRule="auto" w:line="360"/>
        <w:ind w:left="480" w:hanging="480"/>
        <w:rPr>
          <w:rFonts w:ascii="Calibri" w:hAnsi="Calibri"/>
          <w:lang w:val="es-ES"/>
        </w:rPr>
      </w:pPr>
      <w:r>
        <w:rPr>
          <w:rFonts w:ascii="Calibri" w:hAnsi="Calibri"/>
          <w:lang w:val="es-ES"/>
        </w:rPr>
        <w:t xml:space="preserve">White NJ et al. 2014. Malaria. </w:t>
      </w:r>
      <w:r>
        <w:rPr>
          <w:rFonts w:ascii="Calibri" w:hAnsi="Calibri"/>
          <w:i/>
          <w:iCs/>
          <w:lang w:val="es-ES"/>
        </w:rPr>
        <w:t>Lancet</w:t>
      </w:r>
      <w:r>
        <w:rPr>
          <w:rFonts w:ascii="Calibri" w:hAnsi="Calibri"/>
          <w:lang w:val="es-ES"/>
        </w:rPr>
        <w:t xml:space="preserve"> </w:t>
      </w:r>
      <w:r>
        <w:rPr>
          <w:rFonts w:ascii="Calibri" w:hAnsi="Calibri"/>
          <w:b/>
          <w:bCs/>
          <w:lang w:val="es-ES"/>
        </w:rPr>
        <w:t>383</w:t>
      </w:r>
      <w:r>
        <w:rPr>
          <w:rFonts w:ascii="Calibri" w:hAnsi="Calibri"/>
          <w:lang w:val="es-ES"/>
        </w:rPr>
        <w:t>(9918): 723–35. Available from: http://www.ncbi.nlm.nih.gov/pubmed/23953767 [Accessed 28 April 2014].</w:t>
      </w:r>
    </w:p>
    <w:p>
      <w:pPr>
        <w:pStyle w:val="Normal"/>
        <w:widowControl w:val="false"/>
        <w:spacing w:lineRule="auto" w:line="360"/>
        <w:ind w:left="480" w:hanging="480"/>
        <w:rPr>
          <w:rFonts w:ascii="Calibri" w:hAnsi="Calibri"/>
          <w:lang w:val="es-ES"/>
        </w:rPr>
      </w:pPr>
      <w:r>
        <w:rPr>
          <w:rFonts w:ascii="Calibri" w:hAnsi="Calibri"/>
          <w:lang w:val="es-ES"/>
        </w:rPr>
        <w:t xml:space="preserve">Wielgosz B et al. 2012. Malaria and Agriculture: A Global Review of the Literature with a Focus on the Application of Integrated Pest and Vector Management in East Africa and Uganda. </w:t>
      </w:r>
      <w:r>
        <w:rPr>
          <w:rFonts w:ascii="Calibri" w:hAnsi="Calibri"/>
          <w:i/>
          <w:iCs/>
          <w:lang w:val="es-ES"/>
        </w:rPr>
        <w:t>IFPRI Discussion Paper 01232</w:t>
      </w:r>
      <w:r>
        <w:rPr>
          <w:rFonts w:ascii="Calibri" w:hAnsi="Calibri"/>
          <w:lang w:val="es-ES"/>
        </w:rPr>
        <w:t xml:space="preserve"> (December): 64. Available from: http://papers.ssrn.com/abstract=2197504.</w:t>
      </w:r>
    </w:p>
    <w:p>
      <w:pPr>
        <w:pStyle w:val="Normal"/>
        <w:widowControl w:val="false"/>
        <w:spacing w:lineRule="auto" w:line="360"/>
        <w:ind w:left="480" w:hanging="480"/>
        <w:rPr>
          <w:rFonts w:ascii="Calibri" w:hAnsi="Calibri"/>
          <w:lang w:val="es-ES"/>
        </w:rPr>
      </w:pPr>
      <w:r>
        <w:rPr>
          <w:rFonts w:ascii="Calibri" w:hAnsi="Calibri"/>
          <w:lang w:val="es-ES"/>
        </w:rPr>
        <w:t xml:space="preserve">Wigle J et al. 2013. Human papillomavirus (HPV) vaccine implementation in low and middle-income countries (LMICs): Health system experiences and prospects. </w:t>
      </w:r>
      <w:r>
        <w:rPr>
          <w:rFonts w:ascii="Calibri" w:hAnsi="Calibri"/>
          <w:i/>
          <w:iCs/>
          <w:lang w:val="es-ES"/>
        </w:rPr>
        <w:t>Vaccine</w:t>
      </w:r>
      <w:r>
        <w:rPr>
          <w:rFonts w:ascii="Calibri" w:hAnsi="Calibri"/>
          <w:lang w:val="es-ES"/>
        </w:rPr>
        <w:t xml:space="preserve"> </w:t>
      </w:r>
      <w:r>
        <w:rPr>
          <w:rFonts w:ascii="Calibri" w:hAnsi="Calibri"/>
          <w:b/>
          <w:bCs/>
          <w:lang w:val="es-ES"/>
        </w:rPr>
        <w:t>31</w:t>
      </w:r>
      <w:r>
        <w:rPr>
          <w:rFonts w:ascii="Calibri" w:hAnsi="Calibri"/>
          <w:lang w:val="es-ES"/>
        </w:rPr>
        <w:t>(37): 3811–3817. Available from: http://dx.doi.org/10.1016/j.vaccine.2013.06.016.</w:t>
      </w:r>
    </w:p>
    <w:p>
      <w:pPr>
        <w:pStyle w:val="Normal"/>
        <w:widowControl w:val="false"/>
        <w:spacing w:lineRule="auto" w:line="360"/>
        <w:ind w:left="480" w:hanging="480"/>
        <w:rPr>
          <w:rFonts w:ascii="Calibri" w:hAnsi="Calibri"/>
          <w:lang w:val="es-ES"/>
        </w:rPr>
      </w:pPr>
      <w:r>
        <w:rPr>
          <w:rFonts w:ascii="Calibri" w:hAnsi="Calibri"/>
          <w:lang w:val="es-ES"/>
        </w:rPr>
        <w:t xml:space="preserve">Williams HA, Jones CO. 2004. A critical review of behavioral issues related to malaria control in sub-Saharan Africa: </w:t>
      </w:r>
      <w:r>
        <w:rPr>
          <w:rFonts w:ascii="Calibri" w:hAnsi="Calibri"/>
          <w:i/>
          <w:iCs/>
          <w:lang w:val="es-ES"/>
        </w:rPr>
        <w:t>Social Science &amp; Medicine</w:t>
      </w:r>
      <w:r>
        <w:rPr>
          <w:rFonts w:ascii="Calibri" w:hAnsi="Calibri"/>
          <w:lang w:val="es-ES"/>
        </w:rPr>
        <w:t xml:space="preserve"> </w:t>
      </w:r>
      <w:r>
        <w:rPr>
          <w:rFonts w:ascii="Calibri" w:hAnsi="Calibri"/>
          <w:b/>
          <w:bCs/>
          <w:lang w:val="es-ES"/>
        </w:rPr>
        <w:t>59</w:t>
      </w:r>
      <w:r>
        <w:rPr>
          <w:rFonts w:ascii="Calibri" w:hAnsi="Calibri"/>
          <w:lang w:val="es-ES"/>
        </w:rPr>
        <w:t>(3): 501–523. Available from: http://linkinghub.elsevier.com/retrieve/pii/S0277953603005951.</w:t>
      </w:r>
    </w:p>
    <w:p>
      <w:pPr>
        <w:pStyle w:val="Normal"/>
        <w:widowControl w:val="false"/>
        <w:spacing w:lineRule="auto" w:line="360"/>
        <w:ind w:left="480" w:hanging="480"/>
        <w:rPr>
          <w:rFonts w:ascii="Calibri" w:hAnsi="Calibri"/>
          <w:lang w:val="es-ES"/>
        </w:rPr>
      </w:pPr>
      <w:r>
        <w:rPr>
          <w:rFonts w:ascii="Calibri" w:hAnsi="Calibri"/>
          <w:lang w:val="es-ES"/>
        </w:rPr>
        <w:t xml:space="preserve">Wiseman V et al. 2005. Differences in willingness to pay for artemisinin-based combinations or monotherapy: Experiences from the United Republic of Tanzania. </w:t>
      </w:r>
      <w:r>
        <w:rPr>
          <w:rFonts w:ascii="Calibri" w:hAnsi="Calibri"/>
          <w:i/>
          <w:iCs/>
          <w:lang w:val="es-ES"/>
        </w:rPr>
        <w:t>Bulletin of the World Health Organization</w:t>
      </w:r>
      <w:r>
        <w:rPr>
          <w:rFonts w:ascii="Calibri" w:hAnsi="Calibri"/>
          <w:lang w:val="es-ES"/>
        </w:rPr>
        <w:t xml:space="preserve"> </w:t>
      </w:r>
      <w:r>
        <w:rPr>
          <w:rFonts w:ascii="Calibri" w:hAnsi="Calibri"/>
          <w:b/>
          <w:bCs/>
          <w:lang w:val="es-ES"/>
        </w:rPr>
        <w:t>83</w:t>
      </w:r>
      <w:r>
        <w:rPr>
          <w:rFonts w:ascii="Calibri" w:hAnsi="Calibri"/>
          <w:lang w:val="es-ES"/>
        </w:rPr>
        <w:t>(11): 845–852.</w:t>
      </w:r>
    </w:p>
    <w:p>
      <w:pPr>
        <w:pStyle w:val="Normal"/>
        <w:widowControl w:val="false"/>
        <w:spacing w:lineRule="auto" w:line="360"/>
        <w:ind w:left="480" w:hanging="480"/>
        <w:rPr>
          <w:rFonts w:ascii="Calibri" w:hAnsi="Calibri"/>
          <w:lang w:val="es-ES"/>
        </w:rPr>
      </w:pPr>
      <w:r>
        <w:rPr>
          <w:rFonts w:ascii="Calibri" w:hAnsi="Calibri"/>
          <w:lang w:val="es-ES"/>
        </w:rPr>
        <w:t xml:space="preserve">Wong LP. 2010. Role of men in promoting the uptake of HPV vaccinations: Focus groups’ finding from a developing country. </w:t>
      </w:r>
      <w:r>
        <w:rPr>
          <w:rFonts w:ascii="Calibri" w:hAnsi="Calibri"/>
          <w:i/>
          <w:iCs/>
          <w:lang w:val="es-ES"/>
        </w:rPr>
        <w:t>International Journal of Public Health</w:t>
      </w:r>
      <w:r>
        <w:rPr>
          <w:rFonts w:ascii="Calibri" w:hAnsi="Calibri"/>
          <w:lang w:val="es-ES"/>
        </w:rPr>
        <w:t xml:space="preserve"> </w:t>
      </w:r>
      <w:r>
        <w:rPr>
          <w:rFonts w:ascii="Calibri" w:hAnsi="Calibri"/>
          <w:b/>
          <w:bCs/>
          <w:lang w:val="es-ES"/>
        </w:rPr>
        <w:t>55</w:t>
      </w:r>
      <w:r>
        <w:rPr>
          <w:rFonts w:ascii="Calibri" w:hAnsi="Calibri"/>
          <w:lang w:val="es-ES"/>
        </w:rPr>
        <w:t>(1): 35–42.</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2014a. A global brief on vector-borne diseases. Available from: http://apps.who.int/iris/bitstream/10665/111008/1/WHO_DCO_WHD_2014.1_eng.pdf.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2014b. Comprehensive Cervical Cancer Control. </w:t>
      </w:r>
      <w:r>
        <w:rPr>
          <w:rFonts w:ascii="Calibri" w:hAnsi="Calibri"/>
          <w:i/>
          <w:iCs/>
          <w:lang w:val="es-ES"/>
        </w:rPr>
        <w:t>WHO Library Cataloguing-in-Publication Data</w:t>
      </w:r>
      <w:r>
        <w:rPr>
          <w:rFonts w:ascii="Calibri" w:hAnsi="Calibri"/>
          <w:lang w:val="es-ES"/>
        </w:rPr>
        <w:t>: 364. Available from: http://www.who.int/reproductivehealth/publications/cancers/cervical-cancer-guide/en/.</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2014c. Comprehensive Cervical Cancer Control. A guide to essential practice. Second edition. Geneve. Available from: http://apps.who.int/iris/bitstream/10665/144785/1/9789241548953_eng.pdf.</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2010a. Control of the leishmaniases. Report of a Meeting of the WHO Expert Committee on the Control of Leishmaniases, Geneva, Switzerland, 22-26 March 2010. </w:t>
      </w:r>
      <w:r>
        <w:rPr>
          <w:rFonts w:ascii="Calibri" w:hAnsi="Calibri"/>
          <w:i/>
          <w:iCs/>
          <w:lang w:val="es-ES"/>
        </w:rPr>
        <w:t>World Health Organization Technical Report Series</w:t>
      </w:r>
      <w:r>
        <w:rPr>
          <w:rFonts w:ascii="Calibri" w:hAnsi="Calibri"/>
          <w:lang w:val="es-ES"/>
        </w:rPr>
        <w:t xml:space="preserve"> (949).</w:t>
      </w:r>
    </w:p>
    <w:p>
      <w:pPr>
        <w:pStyle w:val="Normal"/>
        <w:widowControl w:val="false"/>
        <w:spacing w:lineRule="auto" w:line="360"/>
        <w:ind w:left="480" w:hanging="480"/>
        <w:rPr>
          <w:rFonts w:ascii="Calibri" w:hAnsi="Calibri"/>
          <w:lang w:val="es-ES"/>
        </w:rPr>
      </w:pPr>
      <w:r>
        <w:rPr>
          <w:rFonts w:ascii="Calibri" w:hAnsi="Calibri"/>
          <w:lang w:val="es-ES"/>
        </w:rPr>
        <w:t>World Health Organization. 2014d. Evidence based recommendations on Human Papilloma Virus (HPV) Vaccines Schedules. Background paper for SAGE discussions. Available from: http://www.who.int/immunization/sage/meetings/2014/april/1_HPV_Evidence_based_recommendationsWHO_with_Appendices2_3.pdf?ua=1.</w:t>
      </w:r>
    </w:p>
    <w:p>
      <w:pPr>
        <w:pStyle w:val="Normal"/>
        <w:widowControl w:val="false"/>
        <w:spacing w:lineRule="auto" w:line="360"/>
        <w:ind w:left="480" w:hanging="480"/>
        <w:rPr>
          <w:rFonts w:ascii="Calibri" w:hAnsi="Calibri"/>
          <w:lang w:val="es-ES"/>
        </w:rPr>
      </w:pPr>
      <w:r>
        <w:rPr>
          <w:rFonts w:ascii="Calibri" w:hAnsi="Calibri"/>
          <w:lang w:val="es-ES"/>
        </w:rPr>
        <w:t>World Health Organization. 2012. Global report for research on infectious diseases of poverty. Available from: http://apps.who.int/iris/bitstream/10665/44850/1/9789241564489_eng.pdf.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2010b. Health systems financing. The path to universal coverage. World Health Report 2010 Geneva: World Health Organization; 2010. Available from: http://www.who.int/whr/2010/10_summary_en.pdf?ua=1.</w:t>
      </w:r>
    </w:p>
    <w:p>
      <w:pPr>
        <w:pStyle w:val="Normal"/>
        <w:widowControl w:val="false"/>
        <w:spacing w:lineRule="auto" w:line="360"/>
        <w:ind w:left="480" w:hanging="480"/>
        <w:rPr>
          <w:rFonts w:ascii="Calibri" w:hAnsi="Calibri"/>
          <w:lang w:val="es-ES"/>
        </w:rPr>
      </w:pPr>
      <w:r>
        <w:rPr>
          <w:rFonts w:ascii="Calibri" w:hAnsi="Calibri"/>
          <w:lang w:val="es-ES"/>
        </w:rPr>
        <w:t xml:space="preserve">World Health Organization. 2010c. Weekly epidemiological record. </w:t>
      </w:r>
      <w:r>
        <w:rPr>
          <w:rFonts w:ascii="Calibri" w:hAnsi="Calibri"/>
          <w:i/>
          <w:iCs/>
          <w:lang w:val="es-ES"/>
        </w:rPr>
        <w:t>WHO Weekly Epidemiological Record</w:t>
      </w:r>
      <w:r>
        <w:rPr>
          <w:rFonts w:ascii="Calibri" w:hAnsi="Calibri"/>
          <w:lang w:val="es-ES"/>
        </w:rPr>
        <w:t xml:space="preserve"> </w:t>
      </w:r>
      <w:r>
        <w:rPr>
          <w:rFonts w:ascii="Calibri" w:hAnsi="Calibri"/>
          <w:b/>
          <w:bCs/>
          <w:lang w:val="es-ES"/>
        </w:rPr>
        <w:t>85</w:t>
      </w:r>
      <w:r>
        <w:rPr>
          <w:rFonts w:ascii="Calibri" w:hAnsi="Calibri"/>
          <w:lang w:val="es-ES"/>
        </w:rPr>
        <w:t>(24): 229–235. Available from: http://eutils.ncbi.nlm.nih.gov/entrez/eutils/elink.fcgi?dbfrom=pubmed&amp;id=20545056&amp;retmode=ref&amp;cmd=prlinks%5Cnpapers2://publication/uuid/B3F26982-FE09-484B-9552-3170A95F674F.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2010d. Working to overcome the global impact of neglected tropical diseases. Available from: http://apps.who.int/iris/bitstream/10665/44440/1/9789241564090_eng.pdf.</w:t>
      </w:r>
    </w:p>
    <w:p>
      <w:pPr>
        <w:pStyle w:val="Normal"/>
        <w:widowControl w:val="false"/>
        <w:spacing w:lineRule="auto" w:line="360"/>
        <w:ind w:left="480" w:hanging="480"/>
        <w:rPr>
          <w:rFonts w:ascii="Calibri" w:hAnsi="Calibri"/>
          <w:lang w:val="es-ES"/>
        </w:rPr>
      </w:pPr>
      <w:r>
        <w:rPr>
          <w:rFonts w:ascii="Calibri" w:hAnsi="Calibri"/>
          <w:lang w:val="es-ES"/>
        </w:rPr>
        <w:t>World Health Organization. 2015. World Malaria Report 2015.</w:t>
      </w:r>
    </w:p>
    <w:p>
      <w:pPr>
        <w:pStyle w:val="Normal"/>
        <w:widowControl w:val="false"/>
        <w:spacing w:lineRule="auto" w:line="360"/>
        <w:ind w:left="480" w:hanging="480"/>
        <w:rPr>
          <w:rFonts w:ascii="Calibri" w:hAnsi="Calibri"/>
          <w:lang w:val="es-ES"/>
        </w:rPr>
      </w:pPr>
      <w:r>
        <w:rPr>
          <w:rFonts w:ascii="Calibri" w:hAnsi="Calibri"/>
          <w:lang w:val="es-ES"/>
        </w:rPr>
        <w:t>World Health Organization. 2016. World Malaria Report 2016.</w:t>
      </w:r>
    </w:p>
    <w:p>
      <w:pPr>
        <w:pStyle w:val="Normal"/>
        <w:widowControl w:val="false"/>
        <w:spacing w:lineRule="auto" w:line="360"/>
        <w:ind w:left="480" w:hanging="480"/>
        <w:rPr>
          <w:rFonts w:ascii="Calibri" w:hAnsi="Calibri"/>
          <w:lang w:val="es-ES"/>
        </w:rPr>
      </w:pPr>
      <w:r>
        <w:rPr>
          <w:rFonts w:ascii="Calibri" w:hAnsi="Calibri"/>
          <w:lang w:val="es-ES"/>
        </w:rPr>
        <w:t xml:space="preserve">Worrall E, Hill J et al. 2005. Experience of targeting subsidies on insecticide-treated nets: What do we know and what are the knowledge gaps?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 19–31.</w:t>
      </w:r>
    </w:p>
    <w:p>
      <w:pPr>
        <w:pStyle w:val="Normal"/>
        <w:widowControl w:val="false"/>
        <w:spacing w:lineRule="auto" w:line="360"/>
        <w:ind w:left="480" w:hanging="480"/>
        <w:rPr>
          <w:rFonts w:ascii="Calibri" w:hAnsi="Calibri"/>
          <w:lang w:val="es-ES"/>
        </w:rPr>
      </w:pPr>
      <w:r>
        <w:rPr>
          <w:rFonts w:ascii="Calibri" w:hAnsi="Calibri"/>
          <w:lang w:val="es-ES"/>
        </w:rPr>
        <w:t xml:space="preserve">Worrall E, Basu S et al. 2005. Is malaria a disease of poverty? A review of the literature. </w:t>
      </w:r>
      <w:r>
        <w:rPr>
          <w:rFonts w:ascii="Calibri" w:hAnsi="Calibri"/>
          <w:i/>
          <w:iCs/>
          <w:lang w:val="es-ES"/>
        </w:rPr>
        <w:t>Tropical Medicine and International Health</w:t>
      </w:r>
      <w:r>
        <w:rPr>
          <w:rFonts w:ascii="Calibri" w:hAnsi="Calibri"/>
          <w:lang w:val="es-ES"/>
        </w:rPr>
        <w:t xml:space="preserve"> </w:t>
      </w:r>
      <w:r>
        <w:rPr>
          <w:rFonts w:ascii="Calibri" w:hAnsi="Calibri"/>
          <w:b/>
          <w:bCs/>
          <w:lang w:val="es-ES"/>
        </w:rPr>
        <w:t>10</w:t>
      </w:r>
      <w:r>
        <w:rPr>
          <w:rFonts w:ascii="Calibri" w:hAnsi="Calibri"/>
          <w:lang w:val="es-ES"/>
        </w:rPr>
        <w:t>(10): 1047–1059.</w:t>
      </w:r>
    </w:p>
    <w:p>
      <w:pPr>
        <w:pStyle w:val="Normal"/>
        <w:widowControl w:val="false"/>
        <w:spacing w:lineRule="auto" w:line="360"/>
        <w:ind w:left="480" w:hanging="480"/>
        <w:rPr>
          <w:rFonts w:ascii="Calibri" w:hAnsi="Calibri"/>
          <w:lang w:val="es-ES"/>
        </w:rPr>
      </w:pPr>
      <w:r>
        <w:rPr>
          <w:rFonts w:ascii="Calibri" w:hAnsi="Calibri"/>
          <w:lang w:val="es-ES"/>
        </w:rPr>
        <w:t xml:space="preserve">Worrall E et al. 2007. The economics of malaria in pregnancy-a review of the evidence and research priorities. </w:t>
      </w:r>
      <w:r>
        <w:rPr>
          <w:rFonts w:ascii="Calibri" w:hAnsi="Calibri"/>
          <w:i/>
          <w:iCs/>
          <w:lang w:val="es-ES"/>
        </w:rPr>
        <w:t>Lancet Infectious Diseases</w:t>
      </w:r>
      <w:r>
        <w:rPr>
          <w:rFonts w:ascii="Calibri" w:hAnsi="Calibri"/>
          <w:lang w:val="es-ES"/>
        </w:rPr>
        <w:t xml:space="preserve"> </w:t>
      </w:r>
      <w:r>
        <w:rPr>
          <w:rFonts w:ascii="Calibri" w:hAnsi="Calibri"/>
          <w:b/>
          <w:bCs/>
          <w:lang w:val="es-ES"/>
        </w:rPr>
        <w:t>7</w:t>
      </w:r>
      <w:r>
        <w:rPr>
          <w:rFonts w:ascii="Calibri" w:hAnsi="Calibri"/>
          <w:lang w:val="es-ES"/>
        </w:rPr>
        <w:t>(2): 156–168.</w:t>
      </w:r>
    </w:p>
    <w:p>
      <w:pPr>
        <w:pStyle w:val="Normal"/>
        <w:widowControl w:val="false"/>
        <w:spacing w:lineRule="auto" w:line="360"/>
        <w:ind w:left="480" w:hanging="480"/>
        <w:rPr>
          <w:rFonts w:ascii="Calibri" w:hAnsi="Calibri"/>
        </w:rPr>
      </w:pPr>
      <w:r>
        <w:rPr>
          <w:rFonts w:ascii="Calibri" w:hAnsi="Calibri"/>
          <w:lang w:val="es-ES"/>
        </w:rPr>
        <w:t xml:space="preserve">Young F et al. 2009. A review of co-morbidity between infectious and chronic disease in Sub Saharan Africa: TB and diabetes mellitus, HIV and metabolic syndrome, and the impact of globalization. </w:t>
      </w:r>
      <w:r>
        <w:rPr>
          <w:rFonts w:ascii="Calibri" w:hAnsi="Calibri"/>
          <w:i/>
          <w:iCs/>
          <w:lang w:val="es-ES"/>
        </w:rPr>
        <w:t>Globalization and Health</w:t>
      </w:r>
      <w:r>
        <w:rPr>
          <w:rFonts w:ascii="Calibri" w:hAnsi="Calibri"/>
          <w:lang w:val="es-ES"/>
        </w:rPr>
        <w:t xml:space="preserve"> </w:t>
      </w:r>
      <w:r>
        <w:rPr>
          <w:rFonts w:ascii="Calibri" w:hAnsi="Calibri"/>
          <w:b/>
          <w:bCs/>
          <w:lang w:val="es-ES"/>
        </w:rPr>
        <w:t>5</w:t>
      </w:r>
      <w:r>
        <w:rPr>
          <w:rFonts w:ascii="Calibri" w:hAnsi="Calibri"/>
          <w:lang w:val="es-ES"/>
        </w:rPr>
        <w:t>(1): 9. Available from: http://globalizationandhealth.biomedcentral.com/articles/10.1186/1744-8603-5-9 [Accessed 8 November 2017].</w:t>
      </w:r>
    </w:p>
    <w:p>
      <w:pPr>
        <w:pStyle w:val="Normal"/>
        <w:widowControl w:val="false"/>
        <w:spacing w:lineRule="auto" w:line="360"/>
        <w:ind w:left="480" w:hanging="48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rPr>
          <w:rFonts w:ascii="Calibri" w:hAnsi="Calibri" w:asciiTheme="majorHAnsi" w:hAnsiTheme="majorHAnsi"/>
          <w:lang w:val="en-GB"/>
        </w:rPr>
      </w:pPr>
      <w:r>
        <w:rPr>
          <w:rFonts w:asciiTheme="majorHAnsi" w:hAnsiTheme="majorHAnsi" w:ascii="Calibri" w:hAnsi="Calibri"/>
          <w:lang w:val="en-GB"/>
        </w:rPr>
      </w:r>
      <w:r>
        <w:br w:type="page"/>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p>
    <w:p>
      <w:pPr>
        <w:pStyle w:val="Normal"/>
        <w:spacing w:lineRule="auto" w:line="360"/>
        <w:rPr>
          <w:rFonts w:ascii="Calibri" w:hAnsi="Calibri" w:asciiTheme="majorHAnsi" w:hAnsiTheme="majorHAnsi"/>
          <w:lang w:val="en-GB"/>
        </w:rPr>
      </w:pPr>
      <w:r>
        <w:rPr>
          <w:rFonts w:asciiTheme="majorHAnsi" w:hAnsiTheme="majorHAnsi" w:ascii="Calibri" w:hAnsi="Calibri"/>
          <w:lang w:val="en-GB"/>
        </w:rPr>
      </w:r>
      <w:r>
        <w:br w:type="page"/>
      </w:r>
    </w:p>
    <w:p>
      <w:pPr>
        <w:pStyle w:val="Heading1"/>
        <w:rPr>
          <w:rFonts w:ascii="Calibri" w:hAnsi="Calibri" w:asciiTheme="majorHAnsi" w:hAnsiTheme="majorHAnsi"/>
          <w:lang w:val="en-US"/>
        </w:rPr>
      </w:pPr>
      <w:bookmarkStart w:id="464" w:name="_Toc382138199"/>
      <w:bookmarkEnd w:id="464"/>
      <w:r>
        <w:rPr>
          <w:rFonts w:ascii="Calibri" w:hAnsi="Calibri" w:asciiTheme="majorHAnsi" w:hAnsiTheme="majorHAnsi"/>
          <w:lang w:val="en-US"/>
        </w:rPr>
        <w:t>Agradecimientos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En primer lugar quisiera agradecer a mis amigos y compañeros del graduado en economía, que me apoyaron y convencieron de que mi camino era el mundo académico. Agradezco a Nuria, Jeni, Mariona y Pedro por su aprecio y risas interminables. A María, David y Sergi por su generosidad y cercanía. En general, quiero agradecer a todos mis compañeros del EUS por el bonito recuerdo que guardo de esa etapa. Muchos de ellos seguramente no deben ser conscientes pero sin su amistad y apoyo en esos momentos nada de esto sería posible ahora. Ellos supieron ver capacidades en mí de las que yo no era consciente. </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Sin embargo, mi tozudez me llevó al mundo de la empresa, sin acabar de encontrar mi lugar para poder desarrollarme profesionalmente. Al cabo de los años mi falta de ilusión me hizo replantearme todo y arriesgar dejando el trabajo y comenzando el máster en ciencia en la facultad de economía. De esa etapa me gustaría agradecer a mis profesores, en especial a Marina y Jesús, por creer en mí y darme una oportunidad trabajando en docencia. Pero también a mis compañeros de máster, en especial a Valeria y Gro, con los que compartimos esfuerzos y nervios, ya que decidimos empezar el máster en los peores años de la crisis financiera.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 xml:space="preserve">Al acabar el máster se abrió una posición en economía de la salud en el CRESIB y comencé mi andadura en el mundo de la ciencia y la cooperación. Agradezco profundamente a Elisa que se decantara por mi candidatura. Sin su confianza y paciencia esta tesis no habría sido posible. Gracias a ella no sólo he participado en todas las etapas de la investigación, sino también he aprendido de su enorme sentido de la ética y honradez. Además, me ha dado la oportunidad de trabajar en el continente africano y ver que la investigación puede tener muchos más </w:t>
      </w:r>
      <w:r>
        <w:rPr>
          <w:rFonts w:ascii="Calibri" w:hAnsi="Calibri" w:asciiTheme="majorHAnsi" w:hAnsiTheme="majorHAnsi"/>
          <w:i/>
        </w:rPr>
        <w:t>colores</w:t>
      </w:r>
      <w:r>
        <w:rPr>
          <w:rFonts w:ascii="Calibri" w:hAnsi="Calibri" w:asciiTheme="majorHAnsi" w:hAnsiTheme="majorHAnsi"/>
        </w:rPr>
        <w:t xml:space="preserve"> que los que me habían enseñado en Europa. Agradezco honestamente a Elisa por todo lo aprendido y por su cercanía y amistad.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Profesionalmente quiero agradecer a Albert, Khátia y Carlos por su amplio conocimiento en investigación y confianza durante los casi 5 años de doctorado, así cómo a mis compañeros de trabajo y doctorado, Anso, Carole, Celine y Joe. Tras dos años trabajando en Barcelona, con visitas puntuales al continente africano, en 2015 me mudé a Mozambique por un estudio sobre la vacuna de malaria. De esta etapa me gustaría agradecer a las personas del Ministerio de Salud en Maputo, el Hospital de Manhiça y personal del CISM, que me han permitido crecer profesionalmente, tanto a nivel científico como de gestión. Quiero agradecer a los trabajadores del CISM por su implicación y paciencia y a los participantes de los estudios que hemos llevado a cabo por su enorme generosidad.</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A nivel personal, agradecer a mi familia en Manhiça, en especial a Laia y Berta, con las que el vínculo emocional vivido traspasa la definición de amistad. También a Reyes, Belén, Sheila, Lucía, Bea, Maxi y Laura, por su amistad en mayúsculas y su apoyo en los momentos más difíciles. Me siento privilegiado de haber compartido tantas cosas con todos vosotros. También quiero agradecer a Julie, Laura, Rosauro, Meri y resto de Manhiceros y Maputienses por los bonitos momentos vividos estos años.</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supuesto me gustaría agradecer a mis amigos en Barcelona por lustros de apoyo y diversión. A Cristina, Mónica, David, Natalia, Juan, Nuria, las Lauras, y sobretodo a, Isa, Pedro y Nieves. Os admiro y agradezco vuestra paciencia y sinceridad, pero sobretodo agradezco lo mucho que me habéis hecho reír para olvidarme de todo. Me gustaría agradecer especialmente a Valentín, al que quiero y admiro como a nadie. Gracias por tu paciencia y apoyo incondicionales. Me siento orgulloso de poder caminar a tu lado.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Quisiera también agradecer a mi familia por su confianza y amor. En especial a mi madre y mi hermana, a las que quiero y tengo en mis pensamientos constantemente. Son las personas más fuertes y generosas que conozco. También me gustaría agradecer el apoyo que recibo de mi padre, Juan, mis primos Edu y Meri, todos mis tíos; pero también a mis abuelos Eduardo y Emilia que estarán siempre en mi memoria.</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Calibri" w:hAnsi="Calibri" w:asciiTheme="majorHAnsi" w:hAnsiTheme="majorHAnsi"/>
        </w:rPr>
        <w:t>Por último quiero expresar a Matan lo sumamente agradecido que me siento por haberle conocido. Gracias por tu amor incondicional, por cambiarme la forma de ver el mundo y por enseñarme nuevamente a soñar. Gracias a ti y a mi familia en Manhiça, mi experiencia en el sur de África no sólo consta de maratonianas jornadas de trabajo y nuevas playas paradisíacas en las que desconectar el fin de semana. El sur de África me ha permitido crecer laboralmente. Encontrar el amor en mayúsculas. Redescubrir el concepto del tiempo. Disfrutar del arroz con pollo. Experimentar qué es la discriminación sexual. Aprender a vivir sin agua ni electricidad. Correr entre niños al atardecer. Rescatar y adoptar a Mumu de la basura mozambiqueña. Dormir en medio del delta del Okavango. Nadar entre delfines, tiburones y mantas. Sentarme y ver pasar las ballenas. Perderme en mar abierto. Aprender de la historia sudafricana. Cantar y bailar verdadera música alternativa. Sentir el calor de la gente en esa parte del mundo. Sentir la solidaridad y ayuda de personas desconocidas a cambio de nada. Conducir por caminos de arena. Mirar impotente la duna más famosa de Namibia. Crear una nueva familia a 8,000 kilómetros de casa. No cansarme de ver el más bonito atardecer.</w:t>
      </w:r>
    </w:p>
    <w:p>
      <w:pPr>
        <w:pStyle w:val="Normal"/>
        <w:spacing w:lineRule="auto" w:line="360"/>
        <w:rPr>
          <w:rFonts w:ascii="Calibri" w:hAnsi="Calibri" w:asciiTheme="majorHAnsi" w:hAnsiTheme="majorHAnsi"/>
        </w:rPr>
      </w:pPr>
      <w:r>
        <w:rPr>
          <w:rFonts w:ascii="Calibri" w:hAnsi="Calibri" w:asciiTheme="majorHAnsi" w:hAnsiTheme="majorHAnsi"/>
        </w:rPr>
        <w:t>Por todo esto estaré eternamente agradecido.</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rPr>
          <w:rFonts w:ascii="Calibri" w:hAnsi="Calibri" w:asciiTheme="majorHAnsi" w:hAnsiTheme="majorHAnsi"/>
        </w:rPr>
      </w:pPr>
      <w:r>
        <w:rPr/>
        <w:drawing>
          <wp:inline distT="0" distB="0" distL="0" distR="0">
            <wp:extent cx="5396230" cy="2162810"/>
            <wp:effectExtent l="0" t="0" r="0" b="0"/>
            <wp:docPr id="5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 descr=""/>
                    <pic:cNvPicPr>
                      <a:picLocks noChangeAspect="1" noChangeArrowheads="1"/>
                    </pic:cNvPicPr>
                  </pic:nvPicPr>
                  <pic:blipFill>
                    <a:blip r:embed="rId60"/>
                    <a:stretch>
                      <a:fillRect/>
                    </a:stretch>
                  </pic:blipFill>
                  <pic:spPr bwMode="auto">
                    <a:xfrm>
                      <a:off x="0" y="0"/>
                      <a:ext cx="5396230" cy="2162810"/>
                    </a:xfrm>
                    <a:prstGeom prst="rect">
                      <a:avLst/>
                    </a:prstGeom>
                  </pic:spPr>
                </pic:pic>
              </a:graphicData>
            </a:graphic>
          </wp:inline>
        </w:drawing>
      </w:r>
    </w:p>
    <w:p>
      <w:pPr>
        <w:pStyle w:val="Normal"/>
        <w:rPr>
          <w:rFonts w:ascii="Calibri" w:hAnsi="Calibri" w:asciiTheme="majorHAnsi" w:hAnsiTheme="majorHAnsi"/>
        </w:rPr>
      </w:pPr>
      <w:r>
        <w:rPr>
          <w:rFonts w:asciiTheme="majorHAnsi" w:hAnsiTheme="majorHAnsi" w:ascii="Calibri" w:hAnsi="Calibri"/>
        </w:rPr>
      </w:r>
    </w:p>
    <w:p>
      <w:pPr>
        <w:pStyle w:val="Normal"/>
        <w:jc w:val="right"/>
        <w:rPr>
          <w:rFonts w:ascii="Calibri" w:hAnsi="Calibri" w:asciiTheme="majorHAnsi" w:hAnsiTheme="majorHAnsi"/>
        </w:rPr>
      </w:pPr>
      <w:r>
        <w:rPr>
          <w:rFonts w:ascii="Calibri" w:hAnsi="Calibri" w:asciiTheme="majorHAnsi" w:hAnsiTheme="majorHAnsi"/>
        </w:rPr>
        <w:t>Barcelona, marzo de 2018.</w:t>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Fonts w:ascii="Calibri" w:hAnsi="Calibri" w:asciiTheme="majorHAnsi" w:hAnsiTheme="majorHAnsi"/>
        </w:rPr>
      </w:pPr>
      <w:r>
        <w:rPr>
          <w:rFonts w:asciiTheme="majorHAnsi" w:hAnsiTheme="majorHAnsi" w:ascii="Calibri" w:hAnsi="Calibri"/>
        </w:rPr>
      </w:r>
    </w:p>
    <w:p>
      <w:pPr>
        <w:pStyle w:val="Normal"/>
        <w:spacing w:lineRule="auto" w:line="360"/>
        <w:rPr>
          <w:rStyle w:val="Pagenumber"/>
        </w:rPr>
      </w:pPr>
      <w:r>
        <w:rPr/>
      </w:r>
    </w:p>
    <w:p>
      <w:pPr>
        <w:pStyle w:val="Footer"/>
        <w:rPr/>
      </w:pPr>
      <w:r>
        <w:rPr/>
      </w:r>
    </w:p>
    <w:sectPr>
      <w:footerReference w:type="default" r:id="rId61"/>
      <w:type w:val="nextPage"/>
      <w:pgSz w:w="11906" w:h="16838"/>
      <w:pgMar w:left="1701" w:right="1701" w:header="0" w:top="1418" w:footer="709" w:bottom="1418" w:gutter="0"/>
      <w:pgNumType w:fmt="decimal"/>
      <w:formProt w:val="false"/>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8-04-12T10:19:5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To avoid repetition of phrase from beginning of paragraph</w:t>
      </w:r>
    </w:p>
  </w:comment>
  <w:comment w:id="1" w:author="Unknown Author" w:date="2018-04-12T10:21:4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Feel free to keep, but the word seems overly “qualitative” to me.</w:t>
      </w:r>
    </w:p>
  </w:comment>
  <w:comment w:id="2" w:author="Unknown Author" w:date="2018-04-12T10:23:3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Separating “children and girls” makes it sound like girls aren’t children...</w:t>
      </w:r>
    </w:p>
  </w:comment>
  <w:comment w:id="3" w:author="Unknown Author" w:date="2018-04-12T10:30:08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I did not read this at all (since I suck at Spanish!)</w:t>
      </w:r>
    </w:p>
  </w:comment>
  <w:comment w:id="4" w:author="Unknown Author" w:date="2018-04-12T10:50: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Removing since it seems a “qualitative” word</w:t>
      </w:r>
    </w:p>
  </w:comment>
  <w:comment w:id="5" w:author="Unknown Author" w:date="2018-04-12T10:50:57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The phrase “During the last decades” has been used a lot. Removing, as not really necessary here.</w:t>
      </w:r>
    </w:p>
  </w:comment>
  <w:comment w:id="6" w:author="Unknown Author" w:date="2018-04-12T10:54:51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I know it sounds weird, but the imperfect subjunctive in English (usually used in writing, never in speaking) is like this...</w:t>
      </w:r>
    </w:p>
  </w:comment>
  <w:comment w:id="7" w:author="Unknown Author" w:date="2018-04-12T11:12:15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“poorer” than what?</w:t>
      </w:r>
    </w:p>
  </w:comment>
  <w:comment w:id="8" w:author="Unknown Author" w:date="2018-04-12T11:18:13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GB"/>
        </w:rPr>
        <w:t>Again, trying to uavoid over-use of this phrase</w:t>
      </w:r>
    </w:p>
  </w:comment>
  <w:comment w:id="9" w:author="Unknown Author" w:date="2018-04-12T11:42:14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Are you sure this value is appropriate for vehicles? I’m fairly certain that (a) it’s not linear and (b) the depreciation in the first year is WAY more than 3%, right?</w:t>
      </w:r>
    </w:p>
  </w:comment>
  <w:comment w:id="10" w:author="Unknown Author" w:date="2018-04-12T11:46:49Z" w:initial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s-ES" w:val="en-US"/>
        </w:rPr>
        <w:t>To avoid the repetition of “however” from the previous sentence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Calibri">
    <w:charset w:val="01"/>
    <w:family w:val="roman"/>
    <w:pitch w:val="default"/>
  </w:font>
  <w:font w:name="Lucida Grande">
    <w:charset w:val="01"/>
    <w:family w:val="roman"/>
    <w:pitch w:val="default"/>
  </w:font>
  <w:font w:name="Liberation Sans">
    <w:altName w:val="Arial"/>
    <w:charset w:val="01"/>
    <w:family w:val="roman"/>
    <w:pitch w:val="default"/>
  </w:font>
  <w:font w:name="Times New Roman">
    <w:charset w:val="01"/>
    <w:family w:val="roman"/>
    <w:pitch w:val="default"/>
  </w:font>
  <w:font w:name="Times">
    <w:altName w:val="Times New Roman"/>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89</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90</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107</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109</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131</w:t>
    </w:r>
    <w:r>
      <w:fldChar w:fldCharType="end"/>
    </w:r>
  </w:p>
  <w:p>
    <w:pPr>
      <w:pStyle w:val="Footer"/>
      <w:rPr/>
    </w:pPr>
    <w:r>
      <w:rPr/>
    </w:r>
  </w:p>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433" w:hanging="0"/>
      <w:jc w:val="right"/>
      <w:rPr/>
    </w:pPr>
    <w:r>
      <w:rPr/>
      <mc:AlternateContent>
        <mc:Choice Requires="wps">
          <w:drawing>
            <wp:anchor behindDoc="1" distT="0" distB="0" distL="0" distR="0" simplePos="0" locked="0" layoutInCell="1" allowOverlap="1" relativeHeight="87">
              <wp:simplePos x="0" y="0"/>
              <wp:positionH relativeFrom="page">
                <wp:posOffset>4738370</wp:posOffset>
              </wp:positionH>
              <wp:positionV relativeFrom="paragraph">
                <wp:posOffset>-4445</wp:posOffset>
              </wp:positionV>
              <wp:extent cx="2104390" cy="177800"/>
              <wp:effectExtent l="0" t="0" r="0" b="0"/>
              <wp:wrapSquare wrapText="largest"/>
              <wp:docPr id="53" name="Frame1"/>
              <a:graphic xmlns:a="http://schemas.openxmlformats.org/drawingml/2006/main">
                <a:graphicData uri="http://schemas.microsoft.com/office/word/2010/wordprocessingShape">
                  <wps:wsp>
                    <wps:cNvSpPr/>
                    <wps:spPr>
                      <a:xfrm>
                        <a:off x="0" y="0"/>
                        <a:ext cx="2103840" cy="177120"/>
                      </a:xfrm>
                      <a:prstGeom prst="rect">
                        <a:avLst/>
                      </a:prstGeom>
                      <a:noFill/>
                      <a:ln>
                        <a:noFill/>
                      </a:ln>
                    </wps:spPr>
                    <wps:style>
                      <a:lnRef idx="0"/>
                      <a:fillRef idx="0"/>
                      <a:effectRef idx="0"/>
                      <a:fontRef idx="minor"/>
                    </wps:style>
                    <wps:txbx>
                      <w:txbxContent>
                        <w:p>
                          <w:pPr>
                            <w:pStyle w:val="Footer"/>
                            <w:jc w:val="right"/>
                            <w:rPr>
                              <w:color w:val="auto"/>
                            </w:rPr>
                          </w:pPr>
                          <w:r>
                            <w:rPr>
                              <w:color w:val="auto"/>
                            </w:rPr>
                            <w:fldChar w:fldCharType="begin"/>
                          </w:r>
                          <w:r>
                            <w:instrText> PAGE </w:instrText>
                          </w:r>
                          <w:r>
                            <w:fldChar w:fldCharType="separate"/>
                          </w:r>
                          <w:r>
                            <w:t>153</w:t>
                          </w:r>
                          <w:r>
                            <w:fldChar w:fldCharType="end"/>
                          </w:r>
                        </w:p>
                      </w:txbxContent>
                    </wps:txbx>
                    <wps:bodyPr lIns="0" rIns="0" tIns="0" bIns="0">
                      <a:spAutoFit/>
                    </wps:bodyPr>
                  </wps:wsp>
                </a:graphicData>
              </a:graphic>
            </wp:anchor>
          </w:drawing>
        </mc:Choice>
        <mc:Fallback>
          <w:pict>
            <v:rect id="shape_0" ID="Frame1" fillcolor="white" stroked="f" style="position:absolute;margin-left:373.1pt;margin-top:-0.35pt;width:165.6pt;height:13.9pt;mso-position-horizontal-relative:page">
              <w10:wrap type="square"/>
              <v:fill o:detectmouseclick="t" type="solid" color2="black" opacity="0"/>
              <v:stroke color="#3465a4" joinstyle="round" endcap="flat"/>
              <v:textbox>
                <w:txbxContent>
                  <w:p>
                    <w:pPr>
                      <w:pStyle w:val="Footer"/>
                      <w:jc w:val="right"/>
                      <w:rPr>
                        <w:color w:val="auto"/>
                      </w:rPr>
                    </w:pPr>
                    <w:r>
                      <w:rPr>
                        <w:color w:val="auto"/>
                      </w:rPr>
                      <w:fldChar w:fldCharType="begin"/>
                    </w:r>
                    <w:r>
                      <w:instrText> PAGE </w:instrText>
                    </w:r>
                    <w:r>
                      <w:fldChar w:fldCharType="separate"/>
                    </w:r>
                    <w:r>
                      <w:t>153</w:t>
                    </w:r>
                    <w:r>
                      <w:fldChar w:fldCharType="end"/>
                    </w:r>
                  </w:p>
                </w:txbxContent>
              </v:textbox>
            </v:rect>
          </w:pict>
        </mc:Fallback>
      </mc:AlternateConten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_trad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es-E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Heading1">
    <w:name w:val="Heading 1"/>
    <w:basedOn w:val="Normal"/>
    <w:next w:val="Normal"/>
    <w:link w:val="Ttulo1Car"/>
    <w:autoRedefine/>
    <w:uiPriority w:val="9"/>
    <w:qFormat/>
    <w:rsid w:val="00982c57"/>
    <w:pPr>
      <w:keepNext/>
      <w:keepLines/>
      <w:spacing w:before="480" w:after="0"/>
      <w:outlineLvl w:val="0"/>
    </w:pPr>
    <w:rPr>
      <w:rFonts w:eastAsia="ＭＳ ゴシック" w:cs="" w:cstheme="majorBidi" w:eastAsiaTheme="majorEastAsia"/>
      <w:b/>
      <w:bCs/>
      <w:color w:val="345A8A" w:themeColor="accent1" w:themeShade="b5"/>
      <w:sz w:val="32"/>
      <w:szCs w:val="32"/>
      <w:lang w:val="en-GB"/>
    </w:rPr>
  </w:style>
  <w:style w:type="paragraph" w:styleId="Heading2">
    <w:name w:val="Heading 2"/>
    <w:basedOn w:val="Normal"/>
    <w:next w:val="Normal"/>
    <w:link w:val="Ttulo2Car"/>
    <w:uiPriority w:val="9"/>
    <w:unhideWhenUsed/>
    <w:qFormat/>
    <w:rsid w:val="00560ed6"/>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484461"/>
    <w:rPr>
      <w:rFonts w:ascii="Lucida Grande" w:hAnsi="Lucida Grande" w:cs="Lucida Grande"/>
      <w:sz w:val="18"/>
      <w:szCs w:val="18"/>
    </w:rPr>
  </w:style>
  <w:style w:type="character" w:styleId="InternetLink">
    <w:name w:val="Internet Link"/>
    <w:basedOn w:val="DefaultParagraphFont"/>
    <w:uiPriority w:val="99"/>
    <w:unhideWhenUsed/>
    <w:rsid w:val="00484461"/>
    <w:rPr>
      <w:color w:val="0000FF" w:themeColor="hyperlink"/>
      <w:u w:val="single"/>
    </w:rPr>
  </w:style>
  <w:style w:type="character" w:styleId="FollowedHyperlink">
    <w:name w:val="FollowedHyperlink"/>
    <w:basedOn w:val="DefaultParagraphFont"/>
    <w:uiPriority w:val="99"/>
    <w:semiHidden/>
    <w:unhideWhenUsed/>
    <w:qFormat/>
    <w:rsid w:val="000a0dbf"/>
    <w:rPr>
      <w:color w:val="800080" w:themeColor="followedHyperlink"/>
      <w:u w:val="single"/>
    </w:rPr>
  </w:style>
  <w:style w:type="character" w:styleId="EncabezadoCar" w:customStyle="1">
    <w:name w:val="Encabezado Car"/>
    <w:basedOn w:val="DefaultParagraphFont"/>
    <w:link w:val="Encabezado"/>
    <w:uiPriority w:val="99"/>
    <w:qFormat/>
    <w:rsid w:val="005d5a17"/>
    <w:rPr/>
  </w:style>
  <w:style w:type="character" w:styleId="PiedepginaCar" w:customStyle="1">
    <w:name w:val="Pie de página Car"/>
    <w:basedOn w:val="DefaultParagraphFont"/>
    <w:link w:val="Piedepgina"/>
    <w:uiPriority w:val="99"/>
    <w:qFormat/>
    <w:rsid w:val="005d5a17"/>
    <w:rPr/>
  </w:style>
  <w:style w:type="character" w:styleId="Ttulo2Car" w:customStyle="1">
    <w:name w:val="Título 2 Car"/>
    <w:basedOn w:val="DefaultParagraphFont"/>
    <w:link w:val="Ttulo2"/>
    <w:uiPriority w:val="9"/>
    <w:qFormat/>
    <w:rsid w:val="00560ed6"/>
    <w:rPr>
      <w:rFonts w:ascii="Calibri" w:hAnsi="Calibri" w:eastAsia="ＭＳ ゴシック" w:cs="" w:asciiTheme="majorHAnsi" w:cstheme="majorBidi" w:eastAsiaTheme="majorEastAsia" w:hAnsiTheme="majorHAnsi"/>
      <w:b/>
      <w:bCs/>
      <w:color w:val="4F81BD" w:themeColor="accent1"/>
      <w:sz w:val="26"/>
      <w:szCs w:val="26"/>
    </w:rPr>
  </w:style>
  <w:style w:type="character" w:styleId="Pagenumber">
    <w:name w:val="page number"/>
    <w:basedOn w:val="DefaultParagraphFont"/>
    <w:uiPriority w:val="99"/>
    <w:semiHidden/>
    <w:unhideWhenUsed/>
    <w:qFormat/>
    <w:rsid w:val="000e2f16"/>
    <w:rPr/>
  </w:style>
  <w:style w:type="character" w:styleId="Annotationreference">
    <w:name w:val="annotation reference"/>
    <w:basedOn w:val="DefaultParagraphFont"/>
    <w:uiPriority w:val="99"/>
    <w:semiHidden/>
    <w:unhideWhenUsed/>
    <w:qFormat/>
    <w:rsid w:val="00ef4ae0"/>
    <w:rPr>
      <w:sz w:val="16"/>
      <w:szCs w:val="16"/>
    </w:rPr>
  </w:style>
  <w:style w:type="character" w:styleId="TextocomentarioCar" w:customStyle="1">
    <w:name w:val="Texto comentario Car"/>
    <w:basedOn w:val="DefaultParagraphFont"/>
    <w:link w:val="Textocomentario"/>
    <w:uiPriority w:val="99"/>
    <w:semiHidden/>
    <w:qFormat/>
    <w:rsid w:val="00ef4ae0"/>
    <w:rPr>
      <w:sz w:val="20"/>
      <w:szCs w:val="20"/>
    </w:rPr>
  </w:style>
  <w:style w:type="character" w:styleId="AsuntodelcomentarioCar" w:customStyle="1">
    <w:name w:val="Asunto del comentario Car"/>
    <w:basedOn w:val="TextocomentarioCar"/>
    <w:link w:val="Asuntodelcomentario"/>
    <w:uiPriority w:val="99"/>
    <w:semiHidden/>
    <w:qFormat/>
    <w:rsid w:val="00ef4ae0"/>
    <w:rPr>
      <w:b/>
      <w:bCs/>
      <w:sz w:val="20"/>
      <w:szCs w:val="20"/>
    </w:rPr>
  </w:style>
  <w:style w:type="character" w:styleId="UnresolvedMention1" w:customStyle="1">
    <w:name w:val="Unresolved Mention1"/>
    <w:basedOn w:val="DefaultParagraphFont"/>
    <w:uiPriority w:val="99"/>
    <w:semiHidden/>
    <w:unhideWhenUsed/>
    <w:qFormat/>
    <w:rsid w:val="0067314e"/>
    <w:rPr>
      <w:color w:val="808080"/>
      <w:shd w:fill="E6E6E6" w:val="clear"/>
    </w:rPr>
  </w:style>
  <w:style w:type="character" w:styleId="Ttulo1Car" w:customStyle="1">
    <w:name w:val="Título 1 Car"/>
    <w:basedOn w:val="DefaultParagraphFont"/>
    <w:link w:val="Ttulo1"/>
    <w:uiPriority w:val="9"/>
    <w:qFormat/>
    <w:rsid w:val="00982c57"/>
    <w:rPr>
      <w:rFonts w:eastAsia="ＭＳ ゴシック" w:cs="" w:cstheme="majorBidi" w:eastAsiaTheme="majorEastAsia"/>
      <w:b/>
      <w:bCs/>
      <w:color w:val="345A8A" w:themeColor="accent1" w:themeShade="b5"/>
      <w:sz w:val="32"/>
      <w:szCs w:val="32"/>
      <w:lang w:val="en-GB"/>
    </w:rPr>
  </w:style>
  <w:style w:type="character" w:styleId="TtuloCar" w:customStyle="1">
    <w:name w:val="Título Car"/>
    <w:basedOn w:val="DefaultParagraphFont"/>
    <w:link w:val="Ttulo"/>
    <w:uiPriority w:val="10"/>
    <w:qFormat/>
    <w:rsid w:val="00c74806"/>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493be1"/>
    <w:rPr>
      <w:color w:val="808080"/>
    </w:rPr>
  </w:style>
  <w:style w:type="character" w:styleId="A2" w:customStyle="1">
    <w:name w:val="A2"/>
    <w:uiPriority w:val="99"/>
    <w:qFormat/>
    <w:rsid w:val="00493be1"/>
    <w:rPr>
      <w:color w:val="000000"/>
      <w:sz w:val="20"/>
      <w:szCs w:val="20"/>
    </w:rPr>
  </w:style>
  <w:style w:type="character" w:styleId="Linenumber">
    <w:name w:val="line number"/>
    <w:basedOn w:val="DefaultParagraphFont"/>
    <w:uiPriority w:val="99"/>
    <w:semiHidden/>
    <w:unhideWhenUsed/>
    <w:qFormat/>
    <w:rsid w:val="00493be1"/>
    <w:rPr/>
  </w:style>
  <w:style w:type="character" w:styleId="TextonotapieCar" w:customStyle="1">
    <w:name w:val="Texto nota pie Car"/>
    <w:basedOn w:val="DefaultParagraphFont"/>
    <w:link w:val="Textonotapie"/>
    <w:uiPriority w:val="99"/>
    <w:qFormat/>
    <w:rsid w:val="00493be1"/>
    <w:rPr>
      <w:rFonts w:ascii="Calibri" w:hAnsi="Calibri" w:eastAsia="Calibri" w:cs="Times New Roman"/>
      <w:sz w:val="20"/>
      <w:szCs w:val="20"/>
      <w:lang w:val="en-US" w:eastAsia="en-US"/>
    </w:rPr>
  </w:style>
  <w:style w:type="character" w:styleId="Footnotereference">
    <w:name w:val="footnote reference"/>
    <w:uiPriority w:val="99"/>
    <w:unhideWhenUsed/>
    <w:qFormat/>
    <w:rsid w:val="00493be1"/>
    <w:rPr>
      <w:vertAlign w:val="superscript"/>
    </w:rPr>
  </w:style>
  <w:style w:type="character" w:styleId="Emphasis">
    <w:name w:val="Emphasis"/>
    <w:basedOn w:val="DefaultParagraphFont"/>
    <w:uiPriority w:val="20"/>
    <w:qFormat/>
    <w:rsid w:val="00255be1"/>
    <w:rPr>
      <w:i/>
      <w:iCs/>
    </w:rPr>
  </w:style>
  <w:style w:type="character" w:styleId="SinespaciadoCar" w:customStyle="1">
    <w:name w:val="Sin espaciado Car"/>
    <w:link w:val="Sinespaciado"/>
    <w:uiPriority w:val="1"/>
    <w:qFormat/>
    <w:rsid w:val="00255be1"/>
    <w:rPr>
      <w:rFonts w:ascii="Calibri" w:hAnsi="Calibri" w:eastAsia="Times New Roman" w:cs="Times New Roman"/>
      <w:sz w:val="22"/>
      <w:szCs w:val="22"/>
      <w:lang w:val="en-US" w:eastAsia="en-US"/>
    </w:rPr>
  </w:style>
  <w:style w:type="character" w:styleId="ListLabel1">
    <w:name w:val="ListLabel 1"/>
    <w:qFormat/>
    <w:rPr>
      <w:rFonts w:eastAsia="ＭＳ 明朝"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ＭＳ 明朝"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Times New Roman"/>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eastAsia="Calibri"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eastAsia="Calibri" w:cs="Times New Roman"/>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eastAsia="ＭＳ 明朝" w:cs=""/>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eastAsia="ＭＳ 明朝" w:c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eastAsia="ＭＳ 明朝" w:cs=""/>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eastAsia="ＭＳ 明朝" w:cs=""/>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eastAsia="ＭＳ 明朝" w:cs="Times New Roman"/>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paragraph" w:styleId="Heading">
    <w:name w:val="Heading"/>
    <w:basedOn w:val="Normal"/>
    <w:next w:val="TextBody"/>
    <w:qFormat/>
    <w:pPr>
      <w:keepNext/>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Cambria" w:hAnsi="Cambria" w:cs="FreeSans"/>
    </w:rPr>
  </w:style>
  <w:style w:type="paragraph" w:styleId="Caption">
    <w:name w:val="Caption"/>
    <w:basedOn w:val="Normal"/>
    <w:qFormat/>
    <w:pPr>
      <w:suppressLineNumbers/>
      <w:spacing w:before="120" w:after="120"/>
    </w:pPr>
    <w:rPr>
      <w:rFonts w:ascii="Cambria" w:hAnsi="Cambria" w:cs="FreeSans"/>
      <w:i/>
      <w:iCs/>
      <w:sz w:val="24"/>
      <w:szCs w:val="24"/>
    </w:rPr>
  </w:style>
  <w:style w:type="paragraph" w:styleId="Index">
    <w:name w:val="Index"/>
    <w:basedOn w:val="Normal"/>
    <w:qFormat/>
    <w:pPr>
      <w:suppressLineNumbers/>
    </w:pPr>
    <w:rPr>
      <w:rFonts w:ascii="Cambria" w:hAnsi="Cambria" w:cs="FreeSans"/>
    </w:rPr>
  </w:style>
  <w:style w:type="paragraph" w:styleId="ListParagraph">
    <w:name w:val="List Paragraph"/>
    <w:basedOn w:val="Normal"/>
    <w:uiPriority w:val="34"/>
    <w:qFormat/>
    <w:rsid w:val="00223fd7"/>
    <w:pPr>
      <w:spacing w:before="0" w:after="0"/>
      <w:ind w:left="720" w:hanging="0"/>
      <w:contextualSpacing/>
    </w:pPr>
    <w:rPr/>
  </w:style>
  <w:style w:type="paragraph" w:styleId="BalloonText">
    <w:name w:val="Balloon Text"/>
    <w:basedOn w:val="Normal"/>
    <w:link w:val="TextodegloboCar"/>
    <w:uiPriority w:val="99"/>
    <w:semiHidden/>
    <w:unhideWhenUsed/>
    <w:qFormat/>
    <w:rsid w:val="00484461"/>
    <w:pPr/>
    <w:rPr>
      <w:rFonts w:ascii="Lucida Grande" w:hAnsi="Lucida Grande" w:cs="Lucida Grande"/>
      <w:sz w:val="18"/>
      <w:szCs w:val="18"/>
    </w:rPr>
  </w:style>
  <w:style w:type="paragraph" w:styleId="Header">
    <w:name w:val="Header"/>
    <w:basedOn w:val="Normal"/>
    <w:link w:val="EncabezadoCar"/>
    <w:uiPriority w:val="99"/>
    <w:unhideWhenUsed/>
    <w:rsid w:val="005d5a17"/>
    <w:pPr>
      <w:tabs>
        <w:tab w:val="center" w:pos="4419" w:leader="none"/>
        <w:tab w:val="right" w:pos="8838" w:leader="none"/>
      </w:tabs>
    </w:pPr>
    <w:rPr/>
  </w:style>
  <w:style w:type="paragraph" w:styleId="Footer">
    <w:name w:val="Footer"/>
    <w:basedOn w:val="Normal"/>
    <w:link w:val="PiedepginaCar"/>
    <w:uiPriority w:val="99"/>
    <w:unhideWhenUsed/>
    <w:rsid w:val="005d5a17"/>
    <w:pPr>
      <w:tabs>
        <w:tab w:val="center" w:pos="4419" w:leader="none"/>
        <w:tab w:val="right" w:pos="8838" w:leader="none"/>
      </w:tabs>
    </w:pPr>
    <w:rPr/>
  </w:style>
  <w:style w:type="paragraph" w:styleId="NormalWeb">
    <w:name w:val="Normal (Web)"/>
    <w:basedOn w:val="Normal"/>
    <w:uiPriority w:val="99"/>
    <w:unhideWhenUsed/>
    <w:qFormat/>
    <w:rsid w:val="004b4027"/>
    <w:pPr/>
    <w:rPr>
      <w:rFonts w:ascii="Times New Roman" w:hAnsi="Times New Roman" w:cs="Times New Roman"/>
    </w:rPr>
  </w:style>
  <w:style w:type="paragraph" w:styleId="Annotationtext">
    <w:name w:val="annotation text"/>
    <w:basedOn w:val="Normal"/>
    <w:link w:val="TextocomentarioCar"/>
    <w:uiPriority w:val="99"/>
    <w:semiHidden/>
    <w:unhideWhenUsed/>
    <w:qFormat/>
    <w:rsid w:val="00ef4ae0"/>
    <w:pPr/>
    <w:rPr>
      <w:sz w:val="20"/>
      <w:szCs w:val="20"/>
    </w:rPr>
  </w:style>
  <w:style w:type="paragraph" w:styleId="Annotationsubject">
    <w:name w:val="annotation subject"/>
    <w:basedOn w:val="Annotationtext"/>
    <w:link w:val="AsuntodelcomentarioCar"/>
    <w:uiPriority w:val="99"/>
    <w:semiHidden/>
    <w:unhideWhenUsed/>
    <w:qFormat/>
    <w:rsid w:val="00ef4ae0"/>
    <w:pPr/>
    <w:rPr>
      <w:b/>
      <w:bCs/>
    </w:rPr>
  </w:style>
  <w:style w:type="paragraph" w:styleId="Revision">
    <w:name w:val="Revision"/>
    <w:uiPriority w:val="99"/>
    <w:semiHidden/>
    <w:qFormat/>
    <w:rsid w:val="00141e01"/>
    <w:pPr>
      <w:widowControl/>
      <w:bidi w:val="0"/>
      <w:jc w:val="left"/>
    </w:pPr>
    <w:rPr>
      <w:rFonts w:ascii="Cambria" w:hAnsi="Cambria" w:eastAsia="ＭＳ 明朝" w:cs="" w:asciiTheme="minorHAnsi" w:cstheme="minorBidi" w:eastAsiaTheme="minorEastAsia" w:hAnsiTheme="minorHAnsi"/>
      <w:color w:val="00000A"/>
      <w:sz w:val="24"/>
      <w:szCs w:val="24"/>
      <w:lang w:val="en-US" w:eastAsia="es-ES" w:bidi="ar-SA"/>
    </w:rPr>
  </w:style>
  <w:style w:type="paragraph" w:styleId="TOCHeading">
    <w:name w:val="TOC Heading"/>
    <w:basedOn w:val="Heading1"/>
    <w:next w:val="Normal"/>
    <w:uiPriority w:val="39"/>
    <w:unhideWhenUsed/>
    <w:qFormat/>
    <w:rsid w:val="00c74806"/>
    <w:pPr>
      <w:spacing w:lineRule="auto" w:line="276"/>
    </w:pPr>
    <w:rPr>
      <w:color w:val="365F91" w:themeColor="accent1" w:themeShade="bf"/>
      <w:sz w:val="28"/>
      <w:szCs w:val="28"/>
    </w:rPr>
  </w:style>
  <w:style w:type="paragraph" w:styleId="Contents1">
    <w:name w:val="TOC 1"/>
    <w:basedOn w:val="Normal"/>
    <w:next w:val="Normal"/>
    <w:autoRedefine/>
    <w:uiPriority w:val="39"/>
    <w:unhideWhenUsed/>
    <w:rsid w:val="00c74806"/>
    <w:pPr>
      <w:spacing w:before="120" w:after="0"/>
    </w:pPr>
    <w:rPr>
      <w:b/>
    </w:rPr>
  </w:style>
  <w:style w:type="paragraph" w:styleId="Contents2">
    <w:name w:val="TOC 2"/>
    <w:basedOn w:val="Normal"/>
    <w:next w:val="Normal"/>
    <w:autoRedefine/>
    <w:uiPriority w:val="39"/>
    <w:unhideWhenUsed/>
    <w:rsid w:val="00c74806"/>
    <w:pPr>
      <w:ind w:left="240" w:hanging="0"/>
    </w:pPr>
    <w:rPr>
      <w:b/>
      <w:sz w:val="22"/>
      <w:szCs w:val="22"/>
    </w:rPr>
  </w:style>
  <w:style w:type="paragraph" w:styleId="Contents3">
    <w:name w:val="TOC 3"/>
    <w:basedOn w:val="Normal"/>
    <w:next w:val="Normal"/>
    <w:autoRedefine/>
    <w:uiPriority w:val="39"/>
    <w:unhideWhenUsed/>
    <w:rsid w:val="00c74806"/>
    <w:pPr>
      <w:ind w:left="480" w:hanging="0"/>
    </w:pPr>
    <w:rPr>
      <w:sz w:val="22"/>
      <w:szCs w:val="22"/>
    </w:rPr>
  </w:style>
  <w:style w:type="paragraph" w:styleId="Contents4">
    <w:name w:val="TOC 4"/>
    <w:basedOn w:val="Normal"/>
    <w:next w:val="Normal"/>
    <w:autoRedefine/>
    <w:uiPriority w:val="39"/>
    <w:unhideWhenUsed/>
    <w:rsid w:val="00c74806"/>
    <w:pPr>
      <w:ind w:left="720" w:hanging="0"/>
    </w:pPr>
    <w:rPr>
      <w:sz w:val="20"/>
      <w:szCs w:val="20"/>
    </w:rPr>
  </w:style>
  <w:style w:type="paragraph" w:styleId="Contents5">
    <w:name w:val="TOC 5"/>
    <w:basedOn w:val="Normal"/>
    <w:next w:val="Normal"/>
    <w:autoRedefine/>
    <w:uiPriority w:val="39"/>
    <w:unhideWhenUsed/>
    <w:rsid w:val="00c74806"/>
    <w:pPr>
      <w:ind w:left="960" w:hanging="0"/>
    </w:pPr>
    <w:rPr>
      <w:sz w:val="20"/>
      <w:szCs w:val="20"/>
    </w:rPr>
  </w:style>
  <w:style w:type="paragraph" w:styleId="Contents6">
    <w:name w:val="TOC 6"/>
    <w:basedOn w:val="Normal"/>
    <w:next w:val="Normal"/>
    <w:autoRedefine/>
    <w:uiPriority w:val="39"/>
    <w:unhideWhenUsed/>
    <w:rsid w:val="00c74806"/>
    <w:pPr>
      <w:ind w:left="1200" w:hanging="0"/>
    </w:pPr>
    <w:rPr>
      <w:sz w:val="20"/>
      <w:szCs w:val="20"/>
    </w:rPr>
  </w:style>
  <w:style w:type="paragraph" w:styleId="Contents7">
    <w:name w:val="TOC 7"/>
    <w:basedOn w:val="Normal"/>
    <w:next w:val="Normal"/>
    <w:autoRedefine/>
    <w:uiPriority w:val="39"/>
    <w:unhideWhenUsed/>
    <w:rsid w:val="00c74806"/>
    <w:pPr>
      <w:ind w:left="1440" w:hanging="0"/>
    </w:pPr>
    <w:rPr>
      <w:sz w:val="20"/>
      <w:szCs w:val="20"/>
    </w:rPr>
  </w:style>
  <w:style w:type="paragraph" w:styleId="Contents8">
    <w:name w:val="TOC 8"/>
    <w:basedOn w:val="Normal"/>
    <w:next w:val="Normal"/>
    <w:autoRedefine/>
    <w:uiPriority w:val="39"/>
    <w:unhideWhenUsed/>
    <w:rsid w:val="00c74806"/>
    <w:pPr>
      <w:ind w:left="1680" w:hanging="0"/>
    </w:pPr>
    <w:rPr>
      <w:sz w:val="20"/>
      <w:szCs w:val="20"/>
    </w:rPr>
  </w:style>
  <w:style w:type="paragraph" w:styleId="Contents9">
    <w:name w:val="TOC 9"/>
    <w:basedOn w:val="Normal"/>
    <w:next w:val="Normal"/>
    <w:autoRedefine/>
    <w:uiPriority w:val="39"/>
    <w:unhideWhenUsed/>
    <w:rsid w:val="00c74806"/>
    <w:pPr>
      <w:ind w:left="1920" w:hanging="0"/>
    </w:pPr>
    <w:rPr>
      <w:sz w:val="20"/>
      <w:szCs w:val="20"/>
    </w:rPr>
  </w:style>
  <w:style w:type="paragraph" w:styleId="Title">
    <w:name w:val="Title"/>
    <w:basedOn w:val="Normal"/>
    <w:next w:val="Normal"/>
    <w:link w:val="TtuloCar"/>
    <w:uiPriority w:val="10"/>
    <w:qFormat/>
    <w:rsid w:val="00c748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Caption1">
    <w:name w:val="caption"/>
    <w:basedOn w:val="Normal"/>
    <w:next w:val="Normal"/>
    <w:uiPriority w:val="35"/>
    <w:qFormat/>
    <w:rsid w:val="00493be1"/>
    <w:pPr>
      <w:spacing w:lineRule="auto" w:line="276" w:before="0" w:after="200"/>
    </w:pPr>
    <w:rPr>
      <w:rFonts w:ascii="Calibri" w:hAnsi="Calibri" w:eastAsia="Calibri" w:cs="Times New Roman"/>
      <w:b/>
      <w:bCs/>
      <w:sz w:val="20"/>
      <w:szCs w:val="20"/>
      <w:lang w:val="en-US" w:eastAsia="en-US"/>
    </w:rPr>
  </w:style>
  <w:style w:type="paragraph" w:styleId="Pa1" w:customStyle="1">
    <w:name w:val="Pa1"/>
    <w:basedOn w:val="Normal"/>
    <w:next w:val="Normal"/>
    <w:uiPriority w:val="99"/>
    <w:qFormat/>
    <w:rsid w:val="00493be1"/>
    <w:pPr>
      <w:spacing w:lineRule="atLeast" w:line="241"/>
    </w:pPr>
    <w:rPr>
      <w:rFonts w:ascii="Times" w:hAnsi="Times" w:eastAsia="Calibri" w:cs="Times"/>
      <w:lang w:val="fr-FR" w:eastAsia="fr-FR"/>
    </w:rPr>
  </w:style>
  <w:style w:type="paragraph" w:styleId="Footnotetext">
    <w:name w:val="footnote text"/>
    <w:basedOn w:val="Normal"/>
    <w:link w:val="TextonotapieCar"/>
    <w:uiPriority w:val="99"/>
    <w:unhideWhenUsed/>
    <w:qFormat/>
    <w:rsid w:val="00493be1"/>
    <w:pPr>
      <w:spacing w:lineRule="auto" w:line="276" w:before="0" w:after="200"/>
    </w:pPr>
    <w:rPr>
      <w:rFonts w:ascii="Calibri" w:hAnsi="Calibri" w:eastAsia="Calibri" w:cs="Times New Roman"/>
      <w:sz w:val="20"/>
      <w:szCs w:val="20"/>
      <w:lang w:val="en-US" w:eastAsia="en-US"/>
    </w:rPr>
  </w:style>
  <w:style w:type="paragraph" w:styleId="NoSpacing">
    <w:name w:val="No Spacing"/>
    <w:link w:val="SinespaciadoCar"/>
    <w:uiPriority w:val="1"/>
    <w:qFormat/>
    <w:rsid w:val="00255be1"/>
    <w:pPr>
      <w:widowControl/>
      <w:bidi w:val="0"/>
      <w:jc w:val="left"/>
    </w:pPr>
    <w:rPr>
      <w:rFonts w:ascii="Calibri" w:hAnsi="Calibri" w:eastAsia="Times New Roman" w:cs="Times New Roman"/>
      <w:color w:val="00000A"/>
      <w:sz w:val="22"/>
      <w:szCs w:val="22"/>
      <w:lang w:val="en-US" w:eastAsia="en-US" w:bidi="ar-SA"/>
    </w:rPr>
  </w:style>
  <w:style w:type="paragraph" w:styleId="Default" w:customStyle="1">
    <w:name w:val="Default"/>
    <w:qFormat/>
    <w:rsid w:val="00255be1"/>
    <w:pPr>
      <w:widowControl/>
      <w:bidi w:val="0"/>
      <w:jc w:val="left"/>
    </w:pPr>
    <w:rPr>
      <w:rFonts w:ascii="Calibri" w:hAnsi="Calibri" w:eastAsia="ＭＳ 明朝" w:cs="Calibri"/>
      <w:color w:val="000000"/>
      <w:sz w:val="24"/>
      <w:szCs w:val="24"/>
      <w:lang w:val="en-ZA" w:eastAsia="es-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2716f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Sombreadoclaro">
    <w:name w:val="Light Shading"/>
    <w:basedOn w:val="Tablanormal"/>
    <w:uiPriority w:val="60"/>
    <w:rsid w:val="00b1149b"/>
    <w:rPr>
      <w:lang w:val="en-GB" w:eastAsia="en-GB"/>
      <w:color w:val="000000" w:themeColor="text1" w:themeShade="bf"/>
      <w:sz w:val="20"/>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156450"/>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vizhub.healthdata.org/gbd-compare" TargetMode="External"/><Relationship Id="rId5" Type="http://schemas.openxmlformats.org/officeDocument/2006/relationships/image" Target="media/image3.ti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jpeg"/><Relationship Id="rId11" Type="http://schemas.openxmlformats.org/officeDocument/2006/relationships/image" Target="media/image9.ti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wmf"/><Relationship Id="rId17" Type="http://schemas.openxmlformats.org/officeDocument/2006/relationships/image" Target="media/image15.wmf"/><Relationship Id="rId18" Type="http://schemas.openxmlformats.org/officeDocument/2006/relationships/image" Target="media/image16.wmf"/><Relationship Id="rId19" Type="http://schemas.openxmlformats.org/officeDocument/2006/relationships/image" Target="media/image17.wmf"/><Relationship Id="rId20" Type="http://schemas.openxmlformats.org/officeDocument/2006/relationships/image" Target="media/image18.wmf"/><Relationship Id="rId21" Type="http://schemas.openxmlformats.org/officeDocument/2006/relationships/image" Target="media/image19.wmf"/><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wmf"/><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wmf"/><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wmf"/><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hyperlink" Target="https://doi.org/10.1002/hec.3514" TargetMode="External"/><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footer" Target="footer5.xm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footer" Target="footer6.xml"/><Relationship Id="rId62" Type="http://schemas.openxmlformats.org/officeDocument/2006/relationships/comments" Target="comment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AA18A-EA80-D242-8C5F-ADCFB6C9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Application>LibreOffice/5.1.6.2$Linux_X86_64 LibreOffice_project/10m0$Build-2</Application>
  <Pages>208</Pages>
  <Words>32039</Words>
  <Characters>183123</Characters>
  <CharactersWithSpaces>211257</CharactersWithSpaces>
  <Paragraphs>3308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2018-03-08T10:38:00Z</dcterms:created>
  <dc:creator>.</dc:creator>
  <dc:description/>
  <dc:language>en-US</dc:language>
  <cp:lastModifiedBy/>
  <cp:lastPrinted>2018-03-08T16:09:00Z</cp:lastPrinted>
  <dcterms:modified xsi:type="dcterms:W3CDTF">2018-04-12T11:47:00Z</dcterms:modified>
  <cp:revision>104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http://csl.mendeley.com/styles/21713271/health-economics-Sergi</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http://www.zotero.org/styles/bmj</vt:lpwstr>
  </property>
  <property fmtid="{D5CDD505-2E9C-101B-9397-08002B2CF9AE}" pid="11" name="Mendeley Recent Style Id 2_1">
    <vt:lpwstr>http://csl.mendeley.com/styles/21713271/bmj-2</vt:lpwstr>
  </property>
  <property fmtid="{D5CDD505-2E9C-101B-9397-08002B2CF9AE}" pid="12" name="Mendeley Recent Style Id 3_1">
    <vt:lpwstr>http://www.zotero.org/styles/health-economics</vt:lpwstr>
  </property>
  <property fmtid="{D5CDD505-2E9C-101B-9397-08002B2CF9AE}" pid="13" name="Mendeley Recent Style Id 4_1">
    <vt:lpwstr>http://csl.mendeley.com/styles/21713271/health-economics-Sergi</vt:lpwstr>
  </property>
  <property fmtid="{D5CDD505-2E9C-101B-9397-08002B2CF9AE}" pid="14" name="Mendeley Recent Style Id 5_1">
    <vt:lpwstr>http://www.zotero.org/styles/modern-humanities-research-association</vt:lpwstr>
  </property>
  <property fmtid="{D5CDD505-2E9C-101B-9397-08002B2CF9AE}" pid="15" name="Mendeley Recent Style Id 6_1">
    <vt:lpwstr>http://www.zotero.org/styles/modern-language-association</vt:lpwstr>
  </property>
  <property fmtid="{D5CDD505-2E9C-101B-9397-08002B2CF9AE}" pid="16" name="Mendeley Recent Style Id 7_1">
    <vt:lpwstr>http://www.zotero.org/styles/nature</vt:lpwstr>
  </property>
  <property fmtid="{D5CDD505-2E9C-101B-9397-08002B2CF9AE}" pid="17" name="Mendeley Recent Style Id 8_1">
    <vt:lpwstr>http://www.zotero.org/styles/social-science-and-medicine</vt:lpwstr>
  </property>
  <property fmtid="{D5CDD505-2E9C-101B-9397-08002B2CF9AE}" pid="18" name="Mendeley Recent Style Id 9_1">
    <vt:lpwstr>http://csl.mendeley.com/styles/21713271/vancouver-Sergi</vt:lpwstr>
  </property>
  <property fmtid="{D5CDD505-2E9C-101B-9397-08002B2CF9AE}" pid="19" name="Mendeley Recent Style Name 0_1">
    <vt:lpwstr>American Political Science Association</vt:lpwstr>
  </property>
  <property fmtid="{D5CDD505-2E9C-101B-9397-08002B2CF9AE}" pid="20" name="Mendeley Recent Style Name 1_1">
    <vt:lpwstr>BMJ</vt:lpwstr>
  </property>
  <property fmtid="{D5CDD505-2E9C-101B-9397-08002B2CF9AE}" pid="21" name="Mendeley Recent Style Name 2_1">
    <vt:lpwstr>BMJ - Sergio Alonso</vt:lpwstr>
  </property>
  <property fmtid="{D5CDD505-2E9C-101B-9397-08002B2CF9AE}" pid="22" name="Mendeley Recent Style Name 3_1">
    <vt:lpwstr>Health Economics</vt:lpwstr>
  </property>
  <property fmtid="{D5CDD505-2E9C-101B-9397-08002B2CF9AE}" pid="23" name="Mendeley Recent Style Name 4_1">
    <vt:lpwstr>Health Economics - Sergio Alonso</vt:lpwstr>
  </property>
  <property fmtid="{D5CDD505-2E9C-101B-9397-08002B2CF9AE}" pid="24" name="Mendeley Recent Style Name 5_1">
    <vt:lpwstr>Modern Humanities Research Association 3rd edition (note with bibliography)</vt:lpwstr>
  </property>
  <property fmtid="{D5CDD505-2E9C-101B-9397-08002B2CF9AE}" pid="25" name="Mendeley Recent Style Name 6_1">
    <vt:lpwstr>Modern Language Association 7th edition</vt:lpwstr>
  </property>
  <property fmtid="{D5CDD505-2E9C-101B-9397-08002B2CF9AE}" pid="26" name="Mendeley Recent Style Name 7_1">
    <vt:lpwstr>Nature</vt:lpwstr>
  </property>
  <property fmtid="{D5CDD505-2E9C-101B-9397-08002B2CF9AE}" pid="27" name="Mendeley Recent Style Name 8_1">
    <vt:lpwstr>Social Science &amp; Medicine</vt:lpwstr>
  </property>
  <property fmtid="{D5CDD505-2E9C-101B-9397-08002B2CF9AE}" pid="28" name="Mendeley Recent Style Name 9_1">
    <vt:lpwstr>Vancouver - Sergio Alonso</vt:lpwstr>
  </property>
  <property fmtid="{D5CDD505-2E9C-101B-9397-08002B2CF9AE}" pid="29" name="Mendeley Unique User Id_1">
    <vt:lpwstr>64a70fbf-1ce0-3d78-898a-0239bf41d86a</vt:lpwstr>
  </property>
  <property fmtid="{D5CDD505-2E9C-101B-9397-08002B2CF9AE}" pid="30" name="ScaleCrop">
    <vt:bool>0</vt:bool>
  </property>
  <property fmtid="{D5CDD505-2E9C-101B-9397-08002B2CF9AE}" pid="31" name="ShareDoc">
    <vt:bool>0</vt:bool>
  </property>
</Properties>
</file>